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A4" w:rsidRDefault="009745BD" w:rsidP="009745B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GIỚI THIỆU CHUNG VỀ DẦU ĐỐT VÀ NHIÊN LIỆU TÀU</w:t>
      </w:r>
    </w:p>
    <w:p w:rsidR="009745BD" w:rsidRPr="009745BD" w:rsidRDefault="009745BD" w:rsidP="005B4408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43388D" w:rsidRPr="00534E3C" w:rsidRDefault="0043388D" w:rsidP="00534E3C">
      <w:pPr>
        <w:pStyle w:val="ListParagraph"/>
        <w:numPr>
          <w:ilvl w:val="0"/>
          <w:numId w:val="43"/>
        </w:numPr>
        <w:outlineLvl w:val="0"/>
        <w:rPr>
          <w:rFonts w:ascii="Times New Roman" w:hAnsi="Times New Roman"/>
          <w:b/>
          <w:sz w:val="26"/>
          <w:szCs w:val="26"/>
        </w:rPr>
      </w:pPr>
      <w:r w:rsidRPr="00534E3C">
        <w:rPr>
          <w:rFonts w:ascii="Times New Roman" w:hAnsi="Times New Roman"/>
          <w:b/>
          <w:sz w:val="26"/>
          <w:szCs w:val="26"/>
        </w:rPr>
        <w:t>Các khái ni</w:t>
      </w:r>
      <w:r w:rsidRPr="00534E3C">
        <w:rPr>
          <w:rFonts w:ascii="Times New Roman" w:hAnsi="Times New Roman" w:cs="Arial"/>
          <w:b/>
          <w:sz w:val="26"/>
          <w:szCs w:val="26"/>
        </w:rPr>
        <w:t>ệ</w:t>
      </w:r>
      <w:r w:rsidRPr="00534E3C">
        <w:rPr>
          <w:rFonts w:ascii="Times New Roman" w:hAnsi="Times New Roman" w:cs=".VnTime"/>
          <w:b/>
          <w:sz w:val="26"/>
          <w:szCs w:val="26"/>
        </w:rPr>
        <w:t>m c</w:t>
      </w:r>
      <w:r w:rsidRPr="00534E3C">
        <w:rPr>
          <w:rFonts w:ascii="Times New Roman" w:hAnsi="Times New Roman" w:cs="Arial"/>
          <w:b/>
          <w:sz w:val="26"/>
          <w:szCs w:val="26"/>
        </w:rPr>
        <w:t>ơ</w:t>
      </w:r>
      <w:r w:rsidRPr="00534E3C">
        <w:rPr>
          <w:rFonts w:ascii="Times New Roman" w:hAnsi="Times New Roman" w:cs=".VnTime"/>
          <w:b/>
          <w:sz w:val="26"/>
          <w:szCs w:val="26"/>
        </w:rPr>
        <w:t xml:space="preserve"> b</w:t>
      </w:r>
      <w:r w:rsidRPr="00534E3C">
        <w:rPr>
          <w:rFonts w:ascii="Times New Roman" w:hAnsi="Times New Roman" w:cs="Arial"/>
          <w:b/>
          <w:sz w:val="26"/>
          <w:szCs w:val="26"/>
        </w:rPr>
        <w:t>ả</w:t>
      </w:r>
      <w:r w:rsidRPr="00534E3C">
        <w:rPr>
          <w:rFonts w:ascii="Times New Roman" w:hAnsi="Times New Roman" w:cs=".VnTime"/>
          <w:b/>
          <w:sz w:val="26"/>
          <w:szCs w:val="26"/>
        </w:rPr>
        <w:t>n</w:t>
      </w:r>
    </w:p>
    <w:p w:rsidR="005B4408" w:rsidRPr="00B86E79" w:rsidRDefault="005B4408" w:rsidP="005B4408">
      <w:pPr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Dầu đốt có thể là sản phẩm </w:t>
      </w:r>
      <w:proofErr w:type="gramStart"/>
      <w:r w:rsidRPr="00B86E79">
        <w:rPr>
          <w:rFonts w:ascii="Times New Roman" w:hAnsi="Times New Roman"/>
          <w:sz w:val="26"/>
          <w:szCs w:val="26"/>
        </w:rPr>
        <w:t>chưng</w:t>
      </w:r>
      <w:proofErr w:type="gramEnd"/>
      <w:r w:rsidRPr="00B86E79">
        <w:rPr>
          <w:rFonts w:ascii="Times New Roman" w:hAnsi="Times New Roman"/>
          <w:sz w:val="26"/>
          <w:szCs w:val="26"/>
        </w:rPr>
        <w:t xml:space="preserve"> cất hoặc chỉ là thành phần cặn còn sót lại sau khi chưng cất dầu mỏ (không tính tới dầu gốc – base oi</w:t>
      </w:r>
      <w:r w:rsidR="00316F0F">
        <w:rPr>
          <w:rFonts w:ascii="Times New Roman" w:hAnsi="Times New Roman"/>
          <w:sz w:val="26"/>
          <w:szCs w:val="26"/>
        </w:rPr>
        <w:t>l</w:t>
      </w:r>
      <w:r w:rsidRPr="00B86E79">
        <w:rPr>
          <w:rFonts w:ascii="Times New Roman" w:hAnsi="Times New Roman"/>
          <w:sz w:val="26"/>
          <w:szCs w:val="26"/>
        </w:rPr>
        <w:t xml:space="preserve"> và nhựa đường – bitumen). Bao gồm từ xăng (gasoline hay petrol), dầu hỏa (kerosen) dầu di</w:t>
      </w:r>
      <w:r w:rsidR="00240585">
        <w:rPr>
          <w:rFonts w:ascii="Times New Roman" w:hAnsi="Times New Roman"/>
          <w:sz w:val="26"/>
          <w:szCs w:val="26"/>
        </w:rPr>
        <w:t>e</w:t>
      </w:r>
      <w:r w:rsidRPr="00B86E79">
        <w:rPr>
          <w:rFonts w:ascii="Times New Roman" w:hAnsi="Times New Roman"/>
          <w:sz w:val="26"/>
          <w:szCs w:val="26"/>
        </w:rPr>
        <w:t>s</w:t>
      </w:r>
      <w:r w:rsidR="00240585">
        <w:rPr>
          <w:rFonts w:ascii="Times New Roman" w:hAnsi="Times New Roman"/>
          <w:sz w:val="26"/>
          <w:szCs w:val="26"/>
        </w:rPr>
        <w:t>e</w:t>
      </w:r>
      <w:r w:rsidRPr="00B86E79">
        <w:rPr>
          <w:rFonts w:ascii="Times New Roman" w:hAnsi="Times New Roman"/>
          <w:sz w:val="26"/>
          <w:szCs w:val="26"/>
        </w:rPr>
        <w:t xml:space="preserve">l </w:t>
      </w:r>
      <w:proofErr w:type="gramStart"/>
      <w:r w:rsidRPr="00B86E79">
        <w:rPr>
          <w:rFonts w:ascii="Times New Roman" w:hAnsi="Times New Roman"/>
          <w:sz w:val="26"/>
          <w:szCs w:val="26"/>
        </w:rPr>
        <w:t>chưng</w:t>
      </w:r>
      <w:proofErr w:type="gramEnd"/>
      <w:r w:rsidRPr="00B86E79">
        <w:rPr>
          <w:rFonts w:ascii="Times New Roman" w:hAnsi="Times New Roman"/>
          <w:sz w:val="26"/>
          <w:szCs w:val="26"/>
        </w:rPr>
        <w:t xml:space="preserve"> cất (distilate diesel oi</w:t>
      </w:r>
      <w:r w:rsidR="004A0156">
        <w:rPr>
          <w:rFonts w:ascii="Times New Roman" w:hAnsi="Times New Roman"/>
          <w:sz w:val="26"/>
          <w:szCs w:val="26"/>
        </w:rPr>
        <w:t>l</w:t>
      </w:r>
      <w:r w:rsidRPr="00B86E79">
        <w:rPr>
          <w:rFonts w:ascii="Times New Roman" w:hAnsi="Times New Roman"/>
          <w:sz w:val="26"/>
          <w:szCs w:val="26"/>
        </w:rPr>
        <w:t>) và dầu cặn diesel (residual diesel fuel), cả hai loại đều mang tên là diesel bởi chúng được sử dụng làm nhiên liệu cho động cơ diesel.</w:t>
      </w:r>
    </w:p>
    <w:p w:rsidR="0042730E" w:rsidRPr="00B86E79" w:rsidRDefault="0042730E" w:rsidP="005B4408">
      <w:pPr>
        <w:outlineLvl w:val="0"/>
        <w:rPr>
          <w:rFonts w:ascii="Times New Roman" w:hAnsi="Times New Roman"/>
          <w:sz w:val="10"/>
          <w:szCs w:val="10"/>
        </w:rPr>
      </w:pPr>
    </w:p>
    <w:p w:rsidR="0043388D" w:rsidRPr="00B86E79" w:rsidRDefault="0043388D" w:rsidP="005B4408">
      <w:pPr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86E79">
        <w:rPr>
          <w:rFonts w:ascii="Times New Roman" w:hAnsi="Times New Roman"/>
          <w:sz w:val="26"/>
          <w:szCs w:val="26"/>
        </w:rPr>
        <w:t>Ở Mỹ</w:t>
      </w:r>
      <w:r w:rsidR="0042730E" w:rsidRPr="00B86E79">
        <w:rPr>
          <w:rFonts w:ascii="Times New Roman" w:hAnsi="Times New Roman"/>
          <w:sz w:val="26"/>
          <w:szCs w:val="26"/>
        </w:rPr>
        <w:t>,</w:t>
      </w:r>
      <w:r w:rsidRPr="00B86E79">
        <w:rPr>
          <w:rFonts w:ascii="Times New Roman" w:hAnsi="Times New Roman"/>
          <w:sz w:val="26"/>
          <w:szCs w:val="26"/>
        </w:rPr>
        <w:t xml:space="preserve"> dầu đốt được chia thành 6 loại khác nhau tùy thuộc vào điểm sôi, thành phần hóa học và mục đích sử dụng.</w:t>
      </w:r>
      <w:proofErr w:type="gramEnd"/>
      <w:r w:rsidRPr="00B86E79">
        <w:rPr>
          <w:rFonts w:ascii="Times New Roman" w:hAnsi="Times New Roman"/>
          <w:sz w:val="26"/>
          <w:szCs w:val="26"/>
        </w:rPr>
        <w:t xml:space="preserve"> Độ nhớt là một đặc tính quan trọ</w:t>
      </w:r>
      <w:r w:rsidR="004A0156">
        <w:rPr>
          <w:rFonts w:ascii="Times New Roman" w:hAnsi="Times New Roman"/>
          <w:sz w:val="26"/>
          <w:szCs w:val="26"/>
        </w:rPr>
        <w:t>ng của dầu, độ nhớt càng cao thì</w:t>
      </w:r>
      <w:r w:rsidR="00115A29">
        <w:rPr>
          <w:rFonts w:ascii="Times New Roman" w:hAnsi="Times New Roman"/>
          <w:sz w:val="26"/>
          <w:szCs w:val="26"/>
        </w:rPr>
        <w:t xml:space="preserve"> số càng cao:</w:t>
      </w:r>
    </w:p>
    <w:p w:rsidR="005B4408" w:rsidRPr="00B86E79" w:rsidRDefault="0043388D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Dầu</w:t>
      </w:r>
      <w:r w:rsidR="00546293" w:rsidRPr="00B86E79">
        <w:rPr>
          <w:rFonts w:ascii="Times New Roman" w:hAnsi="Times New Roman"/>
          <w:sz w:val="26"/>
          <w:szCs w:val="26"/>
        </w:rPr>
        <w:t xml:space="preserve"> đốt</w:t>
      </w:r>
      <w:r w:rsidRPr="00B86E79">
        <w:rPr>
          <w:rFonts w:ascii="Times New Roman" w:hAnsi="Times New Roman"/>
          <w:sz w:val="26"/>
          <w:szCs w:val="26"/>
        </w:rPr>
        <w:t xml:space="preserve"> số 1</w:t>
      </w:r>
      <w:r w:rsidR="00546293" w:rsidRPr="00B86E79">
        <w:rPr>
          <w:rFonts w:ascii="Times New Roman" w:hAnsi="Times New Roman"/>
          <w:sz w:val="26"/>
          <w:szCs w:val="26"/>
        </w:rPr>
        <w:t xml:space="preserve"> là Gas Oil</w:t>
      </w:r>
      <w:r w:rsidR="00E549B9">
        <w:rPr>
          <w:rFonts w:ascii="Times New Roman" w:hAnsi="Times New Roman"/>
          <w:sz w:val="26"/>
          <w:szCs w:val="26"/>
        </w:rPr>
        <w:t>.</w:t>
      </w:r>
    </w:p>
    <w:p w:rsidR="00546293" w:rsidRDefault="00546293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Dầu đốt số 2 là dầu Diesel hay bán ở các cây xăng cho </w:t>
      </w:r>
      <w:proofErr w:type="gramStart"/>
      <w:r w:rsidRPr="00B86E79">
        <w:rPr>
          <w:rFonts w:ascii="Times New Roman" w:hAnsi="Times New Roman"/>
          <w:sz w:val="26"/>
          <w:szCs w:val="26"/>
        </w:rPr>
        <w:t>xe</w:t>
      </w:r>
      <w:proofErr w:type="gramEnd"/>
      <w:r w:rsidRPr="00B86E79">
        <w:rPr>
          <w:rFonts w:ascii="Times New Roman" w:hAnsi="Times New Roman"/>
          <w:sz w:val="26"/>
          <w:szCs w:val="26"/>
        </w:rPr>
        <w:t xml:space="preserve"> tải và các thiết bị có động cơ diesel.</w:t>
      </w:r>
    </w:p>
    <w:p w:rsidR="006F548D" w:rsidRPr="004753A8" w:rsidRDefault="006F548D" w:rsidP="004753A8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6F548D">
        <w:rPr>
          <w:rFonts w:ascii="Times New Roman" w:hAnsi="Times New Roman"/>
          <w:sz w:val="26"/>
          <w:szCs w:val="26"/>
        </w:rPr>
        <w:t xml:space="preserve">Dầu </w:t>
      </w:r>
      <w:r>
        <w:rPr>
          <w:rFonts w:ascii="Times New Roman" w:hAnsi="Times New Roman"/>
          <w:sz w:val="26"/>
          <w:szCs w:val="26"/>
        </w:rPr>
        <w:t>đốt</w:t>
      </w:r>
      <w:r w:rsidRPr="006F548D">
        <w:rPr>
          <w:rFonts w:ascii="Times New Roman" w:hAnsi="Times New Roman"/>
          <w:sz w:val="26"/>
          <w:szCs w:val="26"/>
        </w:rPr>
        <w:t xml:space="preserve"> số 3 là một loại dầu </w:t>
      </w:r>
      <w:proofErr w:type="gramStart"/>
      <w:r w:rsidRPr="006F548D">
        <w:rPr>
          <w:rFonts w:ascii="Times New Roman" w:hAnsi="Times New Roman"/>
          <w:sz w:val="26"/>
          <w:szCs w:val="26"/>
        </w:rPr>
        <w:t>chưng</w:t>
      </w:r>
      <w:proofErr w:type="gramEnd"/>
      <w:r w:rsidRPr="006F548D">
        <w:rPr>
          <w:rFonts w:ascii="Times New Roman" w:hAnsi="Times New Roman"/>
          <w:sz w:val="26"/>
          <w:szCs w:val="26"/>
        </w:rPr>
        <w:t xml:space="preserve"> cất cho các loại lò đốt đòi hỏi nhiên liệu có độ nhớt thấp.</w:t>
      </w:r>
      <w:r w:rsidR="0072762B">
        <w:rPr>
          <w:rFonts w:ascii="Times New Roman" w:hAnsi="Times New Roman"/>
          <w:sz w:val="26"/>
          <w:szCs w:val="26"/>
        </w:rPr>
        <w:t xml:space="preserve"> Hiệp hội vật liệu và thử nghiệm </w:t>
      </w:r>
      <w:r w:rsidR="00506D17">
        <w:rPr>
          <w:rFonts w:ascii="Times New Roman" w:hAnsi="Times New Roman"/>
          <w:sz w:val="26"/>
          <w:szCs w:val="26"/>
        </w:rPr>
        <w:t>Hoa Kỳ</w:t>
      </w:r>
      <w:r w:rsidRPr="006F548D">
        <w:rPr>
          <w:rFonts w:ascii="Times New Roman" w:hAnsi="Times New Roman"/>
          <w:sz w:val="26"/>
          <w:szCs w:val="26"/>
        </w:rPr>
        <w:t xml:space="preserve"> </w:t>
      </w:r>
      <w:r w:rsidR="0072762B">
        <w:rPr>
          <w:rFonts w:ascii="Times New Roman" w:hAnsi="Times New Roman"/>
          <w:sz w:val="26"/>
          <w:szCs w:val="26"/>
        </w:rPr>
        <w:t>(</w:t>
      </w:r>
      <w:r w:rsidRPr="006F548D">
        <w:rPr>
          <w:rFonts w:ascii="Times New Roman" w:hAnsi="Times New Roman"/>
          <w:sz w:val="26"/>
          <w:szCs w:val="26"/>
        </w:rPr>
        <w:t>ASTM</w:t>
      </w:r>
      <w:r w:rsidR="0072762B">
        <w:rPr>
          <w:rFonts w:ascii="Times New Roman" w:hAnsi="Times New Roman"/>
          <w:sz w:val="26"/>
          <w:szCs w:val="26"/>
        </w:rPr>
        <w:t>)</w:t>
      </w:r>
      <w:r w:rsidRPr="006F548D">
        <w:rPr>
          <w:rFonts w:ascii="Times New Roman" w:hAnsi="Times New Roman"/>
          <w:sz w:val="26"/>
          <w:szCs w:val="26"/>
        </w:rPr>
        <w:t xml:space="preserve"> sát nhập loại này vào đặc điểm của dầu </w:t>
      </w:r>
      <w:r>
        <w:rPr>
          <w:rFonts w:ascii="Times New Roman" w:hAnsi="Times New Roman"/>
          <w:sz w:val="26"/>
          <w:szCs w:val="26"/>
        </w:rPr>
        <w:t>đốt</w:t>
      </w:r>
      <w:r w:rsidR="004753A8">
        <w:rPr>
          <w:rFonts w:ascii="Times New Roman" w:hAnsi="Times New Roman"/>
          <w:sz w:val="26"/>
          <w:szCs w:val="26"/>
        </w:rPr>
        <w:t xml:space="preserve"> số 2</w:t>
      </w:r>
      <w:r w:rsidRPr="006F548D">
        <w:rPr>
          <w:rFonts w:ascii="Times New Roman" w:hAnsi="Times New Roman"/>
          <w:sz w:val="26"/>
          <w:szCs w:val="26"/>
        </w:rPr>
        <w:t xml:space="preserve"> </w:t>
      </w:r>
      <w:r w:rsidR="004753A8">
        <w:rPr>
          <w:rFonts w:ascii="Times New Roman" w:hAnsi="Times New Roman"/>
          <w:sz w:val="26"/>
          <w:szCs w:val="26"/>
        </w:rPr>
        <w:t>(</w:t>
      </w:r>
      <w:r w:rsidRPr="0021277A">
        <w:rPr>
          <w:rFonts w:ascii="Times New Roman" w:hAnsi="Times New Roman"/>
          <w:i/>
          <w:sz w:val="26"/>
          <w:szCs w:val="26"/>
        </w:rPr>
        <w:t>thuật ngữ ngày đã ít được sử dụng từ giữa thế kỷ 20</w:t>
      </w:r>
      <w:r w:rsidR="004753A8">
        <w:rPr>
          <w:rFonts w:ascii="Times New Roman" w:hAnsi="Times New Roman"/>
          <w:sz w:val="26"/>
          <w:szCs w:val="26"/>
        </w:rPr>
        <w:t>)</w:t>
      </w:r>
      <w:r w:rsidRPr="006F548D">
        <w:rPr>
          <w:rFonts w:ascii="Times New Roman" w:hAnsi="Times New Roman"/>
          <w:sz w:val="26"/>
          <w:szCs w:val="26"/>
        </w:rPr>
        <w:t>.</w:t>
      </w:r>
    </w:p>
    <w:p w:rsidR="00546293" w:rsidRPr="00B86E79" w:rsidRDefault="00546293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Dầu đốt số 4 là sản phẩm hòa trộn (blend)</w:t>
      </w:r>
      <w:r w:rsidR="00A66CEA">
        <w:rPr>
          <w:rFonts w:ascii="Times New Roman" w:hAnsi="Times New Roman"/>
          <w:sz w:val="26"/>
          <w:szCs w:val="26"/>
        </w:rPr>
        <w:t xml:space="preserve"> giữa</w:t>
      </w:r>
      <w:r w:rsidRPr="00B86E79">
        <w:rPr>
          <w:rFonts w:ascii="Times New Roman" w:hAnsi="Times New Roman"/>
          <w:sz w:val="26"/>
          <w:szCs w:val="26"/>
        </w:rPr>
        <w:t xml:space="preserve"> dầu đốt số 2 và d</w:t>
      </w:r>
      <w:r w:rsidR="00A66CEA">
        <w:rPr>
          <w:rFonts w:ascii="Times New Roman" w:hAnsi="Times New Roman"/>
          <w:sz w:val="26"/>
          <w:szCs w:val="26"/>
        </w:rPr>
        <w:t>ầu cặn số 6 (residual oil no.6) với</w:t>
      </w:r>
      <w:r w:rsidRPr="00B86E79">
        <w:rPr>
          <w:rFonts w:ascii="Times New Roman" w:hAnsi="Times New Roman"/>
          <w:sz w:val="26"/>
          <w:szCs w:val="26"/>
        </w:rPr>
        <w:t xml:space="preserve"> tỷ lệ tương đương.</w:t>
      </w:r>
    </w:p>
    <w:p w:rsidR="00546293" w:rsidRPr="00B86E79" w:rsidRDefault="00546293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Dầu đốt số 5 là sản phẩm hòa trộn</w:t>
      </w:r>
      <w:r w:rsidR="00B0005A">
        <w:rPr>
          <w:rFonts w:ascii="Times New Roman" w:hAnsi="Times New Roman"/>
          <w:sz w:val="26"/>
          <w:szCs w:val="26"/>
        </w:rPr>
        <w:t xml:space="preserve"> giữa</w:t>
      </w:r>
      <w:r w:rsidRPr="00B86E79">
        <w:rPr>
          <w:rFonts w:ascii="Times New Roman" w:hAnsi="Times New Roman"/>
          <w:sz w:val="26"/>
          <w:szCs w:val="26"/>
        </w:rPr>
        <w:t xml:space="preserve"> dầu </w:t>
      </w:r>
      <w:r w:rsidR="00B0005A">
        <w:rPr>
          <w:rFonts w:ascii="Times New Roman" w:hAnsi="Times New Roman"/>
          <w:sz w:val="26"/>
          <w:szCs w:val="26"/>
        </w:rPr>
        <w:t>đốt số 2 và dầu cặn số 6 với</w:t>
      </w:r>
      <w:r w:rsidR="002E2B88">
        <w:rPr>
          <w:rFonts w:ascii="Times New Roman" w:hAnsi="Times New Roman"/>
          <w:sz w:val="26"/>
          <w:szCs w:val="26"/>
        </w:rPr>
        <w:t xml:space="preserve"> tỷ lệ dầu cặn số 6 cao hơn,</w:t>
      </w:r>
      <w:r w:rsidR="00B0005A">
        <w:rPr>
          <w:rFonts w:ascii="Times New Roman" w:hAnsi="Times New Roman"/>
          <w:sz w:val="26"/>
          <w:szCs w:val="26"/>
        </w:rPr>
        <w:t xml:space="preserve"> chiếm</w:t>
      </w:r>
      <w:r w:rsidRPr="00B86E79">
        <w:rPr>
          <w:rFonts w:ascii="Times New Roman" w:hAnsi="Times New Roman"/>
          <w:sz w:val="26"/>
          <w:szCs w:val="26"/>
        </w:rPr>
        <w:t xml:space="preserve"> tới 75% khối lượng.</w:t>
      </w:r>
    </w:p>
    <w:p w:rsidR="00765556" w:rsidRPr="00B86E79" w:rsidRDefault="00546293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Dầu đốt số 6 là phần còn lại của dầu thô sau khi tất cả các thành phần như xăng, dầu hỏa và thành phần</w:t>
      </w:r>
      <w:r w:rsidR="0042730E" w:rsidRPr="00B86E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E2B88">
        <w:rPr>
          <w:rFonts w:ascii="Times New Roman" w:hAnsi="Times New Roman"/>
          <w:sz w:val="26"/>
          <w:szCs w:val="26"/>
        </w:rPr>
        <w:t>chưng</w:t>
      </w:r>
      <w:proofErr w:type="gramEnd"/>
      <w:r w:rsidR="002E2B88">
        <w:rPr>
          <w:rFonts w:ascii="Times New Roman" w:hAnsi="Times New Roman"/>
          <w:sz w:val="26"/>
          <w:szCs w:val="26"/>
        </w:rPr>
        <w:t xml:space="preserve"> cất</w:t>
      </w:r>
      <w:r w:rsidR="0042730E" w:rsidRPr="00B86E79">
        <w:rPr>
          <w:rFonts w:ascii="Times New Roman" w:hAnsi="Times New Roman"/>
          <w:sz w:val="26"/>
          <w:szCs w:val="26"/>
        </w:rPr>
        <w:t xml:space="preserve"> số 2 bay hơi</w:t>
      </w:r>
      <w:r w:rsidR="00765556" w:rsidRPr="00B86E79">
        <w:rPr>
          <w:rFonts w:ascii="Times New Roman" w:hAnsi="Times New Roman"/>
          <w:sz w:val="26"/>
          <w:szCs w:val="26"/>
        </w:rPr>
        <w:t>.</w:t>
      </w:r>
      <w:r w:rsidR="0042730E" w:rsidRPr="00B86E79">
        <w:rPr>
          <w:rFonts w:ascii="Times New Roman" w:hAnsi="Times New Roman"/>
          <w:sz w:val="26"/>
          <w:szCs w:val="26"/>
        </w:rPr>
        <w:t xml:space="preserve"> Do đó nó hay được gọi là dầu </w:t>
      </w:r>
      <w:proofErr w:type="gramStart"/>
      <w:r w:rsidR="0042730E" w:rsidRPr="00B86E79">
        <w:rPr>
          <w:rFonts w:ascii="Times New Roman" w:hAnsi="Times New Roman"/>
          <w:sz w:val="26"/>
          <w:szCs w:val="26"/>
        </w:rPr>
        <w:t>cặn</w:t>
      </w:r>
      <w:r w:rsidR="002E2B88">
        <w:rPr>
          <w:rFonts w:ascii="Times New Roman" w:hAnsi="Times New Roman"/>
          <w:sz w:val="26"/>
          <w:szCs w:val="26"/>
        </w:rPr>
        <w:t>.</w:t>
      </w:r>
      <w:proofErr w:type="gramEnd"/>
    </w:p>
    <w:p w:rsidR="0042730E" w:rsidRPr="00B86E79" w:rsidRDefault="0042730E" w:rsidP="0042730E">
      <w:pPr>
        <w:outlineLvl w:val="0"/>
        <w:rPr>
          <w:rFonts w:ascii="Times New Roman" w:hAnsi="Times New Roman"/>
          <w:sz w:val="10"/>
          <w:szCs w:val="10"/>
        </w:rPr>
      </w:pPr>
    </w:p>
    <w:p w:rsidR="0042730E" w:rsidRPr="00B86E79" w:rsidRDefault="0042730E" w:rsidP="0042730E">
      <w:pPr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Trong ngành hàng hải, nhiên liệu diesel được phân loại </w:t>
      </w:r>
      <w:proofErr w:type="gramStart"/>
      <w:r w:rsidRPr="00B86E79">
        <w:rPr>
          <w:rFonts w:ascii="Times New Roman" w:hAnsi="Times New Roman"/>
          <w:sz w:val="26"/>
          <w:szCs w:val="26"/>
        </w:rPr>
        <w:t>theo</w:t>
      </w:r>
      <w:proofErr w:type="gramEnd"/>
      <w:r w:rsidRPr="00B86E79">
        <w:rPr>
          <w:rFonts w:ascii="Times New Roman" w:hAnsi="Times New Roman"/>
          <w:sz w:val="26"/>
          <w:szCs w:val="26"/>
        </w:rPr>
        <w:t xml:space="preserve"> một hệ thống khác:</w:t>
      </w:r>
    </w:p>
    <w:p w:rsidR="0042730E" w:rsidRPr="00B86E79" w:rsidRDefault="0042730E" w:rsidP="0042730E">
      <w:pPr>
        <w:outlineLvl w:val="0"/>
        <w:rPr>
          <w:rFonts w:ascii="Times New Roman" w:hAnsi="Times New Roman"/>
          <w:sz w:val="6"/>
          <w:szCs w:val="6"/>
        </w:rPr>
      </w:pPr>
    </w:p>
    <w:p w:rsidR="0042730E" w:rsidRPr="00B86E79" w:rsidRDefault="0042730E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MGO (Marine Gasoil) - Tương đương với dầu đốt số 2</w:t>
      </w:r>
    </w:p>
    <w:p w:rsidR="0042730E" w:rsidRPr="00B86E79" w:rsidRDefault="0042730E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MDO (Marine Diesel Oil) - Dầu trộn giữa dầu số 2 và dầ</w:t>
      </w:r>
      <w:r w:rsidR="00E07073">
        <w:rPr>
          <w:rFonts w:ascii="Times New Roman" w:hAnsi="Times New Roman"/>
          <w:sz w:val="26"/>
          <w:szCs w:val="26"/>
        </w:rPr>
        <w:t>u nặng số 6, tỷ lệ tương đương.</w:t>
      </w:r>
    </w:p>
    <w:p w:rsidR="0042730E" w:rsidRPr="00B86E79" w:rsidRDefault="00E07073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IFO (</w:t>
      </w:r>
      <w:r w:rsidR="0042730E" w:rsidRPr="00B86E79">
        <w:rPr>
          <w:rFonts w:ascii="Times New Roman" w:hAnsi="Times New Roman"/>
          <w:sz w:val="26"/>
          <w:szCs w:val="26"/>
        </w:rPr>
        <w:t xml:space="preserve">Intermediate Fuel Oil) </w:t>
      </w:r>
      <w:r w:rsidR="004619BD" w:rsidRPr="00B86E79">
        <w:rPr>
          <w:rFonts w:ascii="Times New Roman" w:hAnsi="Times New Roman"/>
          <w:sz w:val="26"/>
          <w:szCs w:val="26"/>
        </w:rPr>
        <w:t>–</w:t>
      </w:r>
      <w:r w:rsidR="0042730E" w:rsidRPr="00B86E79">
        <w:rPr>
          <w:rFonts w:ascii="Times New Roman" w:hAnsi="Times New Roman"/>
          <w:sz w:val="26"/>
          <w:szCs w:val="26"/>
        </w:rPr>
        <w:t xml:space="preserve"> </w:t>
      </w:r>
      <w:r w:rsidR="004619BD" w:rsidRPr="00B86E79">
        <w:rPr>
          <w:rFonts w:ascii="Times New Roman" w:hAnsi="Times New Roman"/>
          <w:sz w:val="26"/>
          <w:szCs w:val="26"/>
        </w:rPr>
        <w:t>Dầu trộn giữa dầu số 2 và số 6, tỷ lệ dầu số 2 ít hơn số 6.</w:t>
      </w:r>
    </w:p>
    <w:p w:rsidR="0042730E" w:rsidRPr="00B86E79" w:rsidRDefault="004619BD" w:rsidP="0042730E">
      <w:pPr>
        <w:pStyle w:val="ListParagraph"/>
        <w:numPr>
          <w:ilvl w:val="0"/>
          <w:numId w:val="40"/>
        </w:numPr>
        <w:ind w:left="990" w:hanging="27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MFO (Medium Fuel Oil) – Dầu trộn giữa dầu số 2 và số 6, tỷ lệ dầu số 2 còn ít hơn trong IFO.</w:t>
      </w:r>
    </w:p>
    <w:p w:rsidR="004619BD" w:rsidRPr="00B86E79" w:rsidRDefault="004619BD" w:rsidP="00C67071">
      <w:pPr>
        <w:pStyle w:val="ListParagraph"/>
        <w:numPr>
          <w:ilvl w:val="0"/>
          <w:numId w:val="40"/>
        </w:numPr>
        <w:tabs>
          <w:tab w:val="left" w:pos="990"/>
        </w:tabs>
        <w:ind w:left="0" w:firstLine="72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HFO (Heavy Fuel Oil) – Dầu cặn nguyên chất, tương đương với dầu đốt số 6 của Mỹ.</w:t>
      </w:r>
    </w:p>
    <w:p w:rsidR="00BB2EFD" w:rsidRPr="00B86E79" w:rsidRDefault="00BB2EFD" w:rsidP="001F13A4">
      <w:pPr>
        <w:outlineLvl w:val="0"/>
        <w:rPr>
          <w:rFonts w:ascii="Times New Roman" w:hAnsi="Times New Roman"/>
          <w:sz w:val="10"/>
          <w:szCs w:val="10"/>
        </w:rPr>
      </w:pPr>
    </w:p>
    <w:p w:rsidR="00F4003A" w:rsidRPr="00534E3C" w:rsidRDefault="00F4003A" w:rsidP="00534E3C">
      <w:pPr>
        <w:pStyle w:val="ListParagraph"/>
        <w:numPr>
          <w:ilvl w:val="0"/>
          <w:numId w:val="43"/>
        </w:numPr>
        <w:outlineLvl w:val="0"/>
        <w:rPr>
          <w:rFonts w:ascii="Times New Roman" w:hAnsi="Times New Roman"/>
          <w:b/>
          <w:sz w:val="26"/>
          <w:szCs w:val="26"/>
        </w:rPr>
      </w:pPr>
      <w:r w:rsidRPr="00534E3C">
        <w:rPr>
          <w:rFonts w:ascii="Times New Roman" w:hAnsi="Times New Roman"/>
          <w:b/>
          <w:sz w:val="26"/>
          <w:szCs w:val="26"/>
        </w:rPr>
        <w:t>Phân loại nhiên liệu</w:t>
      </w:r>
    </w:p>
    <w:p w:rsidR="00F4003A" w:rsidRPr="00B86E79" w:rsidRDefault="00F4003A" w:rsidP="00F4003A">
      <w:pPr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86E79">
        <w:rPr>
          <w:rFonts w:ascii="Times New Roman" w:hAnsi="Times New Roman"/>
          <w:sz w:val="26"/>
          <w:szCs w:val="26"/>
        </w:rPr>
        <w:t>Trên thế giới có nhiều tiêu chuẩn để phân loại nhiên liệu</w:t>
      </w:r>
      <w:r w:rsidR="000D33C5" w:rsidRPr="00B86E79">
        <w:rPr>
          <w:rFonts w:ascii="Times New Roman" w:hAnsi="Times New Roman"/>
          <w:sz w:val="26"/>
          <w:szCs w:val="26"/>
        </w:rPr>
        <w:t>.</w:t>
      </w:r>
      <w:proofErr w:type="gramEnd"/>
      <w:r w:rsidR="000D33C5" w:rsidRPr="00B86E79">
        <w:rPr>
          <w:rFonts w:ascii="Times New Roman" w:hAnsi="Times New Roman"/>
          <w:sz w:val="26"/>
          <w:szCs w:val="26"/>
        </w:rPr>
        <w:t xml:space="preserve"> Thường chúng được phân </w:t>
      </w:r>
      <w:proofErr w:type="gramStart"/>
      <w:r w:rsidR="000D33C5" w:rsidRPr="00B86E79">
        <w:rPr>
          <w:rFonts w:ascii="Times New Roman" w:hAnsi="Times New Roman"/>
          <w:sz w:val="26"/>
          <w:szCs w:val="26"/>
        </w:rPr>
        <w:t>theo</w:t>
      </w:r>
      <w:proofErr w:type="gramEnd"/>
      <w:r w:rsidR="000D33C5" w:rsidRPr="00B86E79">
        <w:rPr>
          <w:rFonts w:ascii="Times New Roman" w:hAnsi="Times New Roman"/>
          <w:sz w:val="26"/>
          <w:szCs w:val="26"/>
        </w:rPr>
        <w:t xml:space="preserve"> độ nhớt động học. </w:t>
      </w:r>
      <w:proofErr w:type="gramStart"/>
      <w:r w:rsidR="000D33C5" w:rsidRPr="00B86E79">
        <w:rPr>
          <w:rFonts w:ascii="Times New Roman" w:hAnsi="Times New Roman"/>
          <w:sz w:val="26"/>
          <w:szCs w:val="26"/>
        </w:rPr>
        <w:t>Tỷ trọng nhiên liệu là thông số quan trọng của nhiên liệu và thường tỷ lệ thuận với độ nhớt.</w:t>
      </w:r>
      <w:proofErr w:type="gramEnd"/>
      <w:r w:rsidR="000D33C5" w:rsidRPr="00B86E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D33C5" w:rsidRPr="00B86E79">
        <w:rPr>
          <w:rFonts w:ascii="Times New Roman" w:hAnsi="Times New Roman"/>
          <w:sz w:val="26"/>
          <w:szCs w:val="26"/>
        </w:rPr>
        <w:t>Dầu có độ nhớt càng cao thì tỷ trọng càng cao.</w:t>
      </w:r>
      <w:proofErr w:type="gramEnd"/>
    </w:p>
    <w:p w:rsidR="000D33C5" w:rsidRPr="00B86E79" w:rsidRDefault="000D33C5" w:rsidP="00F4003A">
      <w:pPr>
        <w:outlineLvl w:val="0"/>
        <w:rPr>
          <w:rFonts w:ascii="Times New Roman" w:hAnsi="Times New Roman"/>
          <w:sz w:val="10"/>
          <w:szCs w:val="10"/>
        </w:rPr>
      </w:pPr>
    </w:p>
    <w:p w:rsidR="000D33C5" w:rsidRPr="00B86E79" w:rsidRDefault="000D33C5" w:rsidP="00F4003A">
      <w:pPr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Dưới đây là phân loại </w:t>
      </w:r>
      <w:r w:rsidR="00291CBA" w:rsidRPr="00B86E79">
        <w:rPr>
          <w:rFonts w:ascii="Times New Roman" w:hAnsi="Times New Roman"/>
          <w:sz w:val="26"/>
          <w:szCs w:val="26"/>
        </w:rPr>
        <w:t>nhiên liệu tàu</w:t>
      </w:r>
      <w:r w:rsidR="00504B26" w:rsidRPr="00B86E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04B26" w:rsidRPr="00B86E79">
        <w:rPr>
          <w:rFonts w:ascii="Times New Roman" w:hAnsi="Times New Roman"/>
          <w:sz w:val="26"/>
          <w:szCs w:val="26"/>
        </w:rPr>
        <w:t>theo</w:t>
      </w:r>
      <w:proofErr w:type="gramEnd"/>
      <w:r w:rsidR="00504B26" w:rsidRPr="00B86E79">
        <w:rPr>
          <w:rFonts w:ascii="Times New Roman" w:hAnsi="Times New Roman"/>
          <w:sz w:val="26"/>
          <w:szCs w:val="26"/>
        </w:rPr>
        <w:t xml:space="preserve"> IS</w:t>
      </w:r>
      <w:r w:rsidRPr="00B86E79">
        <w:rPr>
          <w:rFonts w:ascii="Times New Roman" w:hAnsi="Times New Roman"/>
          <w:sz w:val="26"/>
          <w:szCs w:val="26"/>
        </w:rPr>
        <w:t>O 8217:20</w:t>
      </w:r>
      <w:r w:rsidR="00436AEE" w:rsidRPr="00B86E79">
        <w:rPr>
          <w:rFonts w:ascii="Times New Roman" w:hAnsi="Times New Roman"/>
          <w:sz w:val="26"/>
          <w:szCs w:val="26"/>
        </w:rPr>
        <w:t>05</w:t>
      </w:r>
      <w:r w:rsidRPr="00B86E79">
        <w:rPr>
          <w:rFonts w:ascii="Times New Roman" w:hAnsi="Times New Roman"/>
          <w:sz w:val="26"/>
          <w:szCs w:val="26"/>
        </w:rPr>
        <w:t xml:space="preserve"> (E)</w:t>
      </w:r>
    </w:p>
    <w:p w:rsidR="000D33C5" w:rsidRPr="00B86E79" w:rsidRDefault="00874554" w:rsidP="004538A1">
      <w:pPr>
        <w:pStyle w:val="ListParagraph"/>
        <w:numPr>
          <w:ilvl w:val="0"/>
          <w:numId w:val="40"/>
        </w:numPr>
        <w:ind w:left="81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Dầu </w:t>
      </w:r>
      <w:r w:rsidRPr="00B86E79">
        <w:rPr>
          <w:rFonts w:ascii="Times New Roman" w:hAnsi="Times New Roman"/>
          <w:b/>
          <w:sz w:val="26"/>
          <w:szCs w:val="26"/>
        </w:rPr>
        <w:t>DO</w:t>
      </w:r>
      <w:r w:rsidRPr="00B86E79">
        <w:rPr>
          <w:rFonts w:ascii="Times New Roman" w:hAnsi="Times New Roman"/>
          <w:sz w:val="26"/>
          <w:szCs w:val="26"/>
        </w:rPr>
        <w:t xml:space="preserve"> (</w:t>
      </w:r>
      <w:r w:rsidR="000D33C5" w:rsidRPr="00B86E79">
        <w:rPr>
          <w:rFonts w:ascii="Times New Roman" w:hAnsi="Times New Roman"/>
          <w:sz w:val="26"/>
          <w:szCs w:val="26"/>
        </w:rPr>
        <w:t>Marine Distillate Fuel</w:t>
      </w:r>
      <w:r w:rsidR="0046768D" w:rsidRPr="00B86E79">
        <w:rPr>
          <w:rFonts w:ascii="Times New Roman" w:hAnsi="Times New Roman"/>
          <w:sz w:val="26"/>
          <w:szCs w:val="26"/>
        </w:rPr>
        <w:t>s</w:t>
      </w:r>
      <w:r w:rsidRPr="00B86E79">
        <w:rPr>
          <w:rFonts w:ascii="Times New Roman" w:hAnsi="Times New Roman"/>
          <w:sz w:val="26"/>
          <w:szCs w:val="26"/>
        </w:rPr>
        <w:t>)</w:t>
      </w:r>
    </w:p>
    <w:p w:rsidR="00C60CB7" w:rsidRPr="00B86E79" w:rsidRDefault="00C60CB7" w:rsidP="00C60CB7">
      <w:pPr>
        <w:outlineLvl w:val="0"/>
        <w:rPr>
          <w:rFonts w:ascii="Times New Roman" w:hAnsi="Times New Roman"/>
          <w:color w:val="000000"/>
          <w:sz w:val="27"/>
          <w:szCs w:val="27"/>
          <w:lang w:eastAsia="zh-CN"/>
        </w:rPr>
      </w:pPr>
      <w:r w:rsidRPr="00B86E79">
        <w:rPr>
          <w:rFonts w:ascii="Times New Roman" w:hAnsi="Times New Roman"/>
          <w:sz w:val="26"/>
          <w:szCs w:val="26"/>
        </w:rPr>
        <w:t xml:space="preserve">ISO 8217:2005 xác định tiêu chuẩn cho các loại dầu DO khác nhau như DMX, DMA, DMZ/E, DMB. </w:t>
      </w:r>
      <w:proofErr w:type="gramStart"/>
      <w:r w:rsidRPr="00B86E79">
        <w:rPr>
          <w:rFonts w:ascii="Times New Roman" w:hAnsi="Times New Roman"/>
          <w:sz w:val="26"/>
          <w:szCs w:val="26"/>
        </w:rPr>
        <w:t>Hiện trên thị trường chủ yếu cung cấp hai loại DMA và DMB, đặc biệt Singapore chỉ cấp loại DMA.</w:t>
      </w:r>
      <w:proofErr w:type="gramEnd"/>
    </w:p>
    <w:p w:rsidR="002F7F6E" w:rsidRPr="00B86E79" w:rsidRDefault="002F7F6E" w:rsidP="002F7F6E">
      <w:pPr>
        <w:shd w:val="clear" w:color="auto" w:fill="FFFFFF"/>
        <w:spacing w:before="120" w:line="240" w:lineRule="auto"/>
        <w:ind w:firstLine="0"/>
        <w:rPr>
          <w:rFonts w:ascii="Times New Roman" w:hAnsi="Times New Roman"/>
          <w:color w:val="000000"/>
          <w:sz w:val="10"/>
          <w:szCs w:val="10"/>
          <w:lang w:eastAsia="zh-CN"/>
        </w:rPr>
      </w:pPr>
    </w:p>
    <w:tbl>
      <w:tblPr>
        <w:tblW w:w="9580" w:type="dxa"/>
        <w:jc w:val="center"/>
        <w:tblCellMar>
          <w:left w:w="0" w:type="dxa"/>
          <w:right w:w="0" w:type="dxa"/>
        </w:tblCellMar>
        <w:tblLook w:val="04A0"/>
      </w:tblPr>
      <w:tblGrid>
        <w:gridCol w:w="3616"/>
        <w:gridCol w:w="1080"/>
        <w:gridCol w:w="1080"/>
        <w:gridCol w:w="3804"/>
      </w:tblGrid>
      <w:tr w:rsidR="002F7F6E" w:rsidRPr="00B86E79" w:rsidTr="00704288">
        <w:trPr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Tên chỉ tiêu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Mức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Phương pháp thử</w:t>
            </w:r>
          </w:p>
        </w:tc>
      </w:tr>
      <w:tr w:rsidR="002F7F6E" w:rsidRPr="00B86E79" w:rsidTr="007042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E" w:rsidRPr="00B86E79" w:rsidRDefault="002F7F6E" w:rsidP="002F7F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586C07" w:rsidP="0046768D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DM</w:t>
            </w:r>
            <w:r w:rsidR="0046768D"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586C07" w:rsidP="00586C07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DM</w:t>
            </w:r>
            <w:r w:rsidR="00415005"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E" w:rsidRPr="00B86E79" w:rsidRDefault="002F7F6E" w:rsidP="002F7F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1.Khối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riêng ở 15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="00CC6168">
              <w:rPr>
                <w:rFonts w:ascii="Times New Roman" w:hAnsi="Times New Roman"/>
                <w:sz w:val="22"/>
                <w:szCs w:val="22"/>
                <w:lang w:eastAsia="zh-CN"/>
              </w:rPr>
              <w:t>C, kg/m</w:t>
            </w:r>
            <w:r w:rsidR="00CC6168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3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, max.</w:t>
            </w:r>
          </w:p>
          <w:p w:rsidR="001E7D45" w:rsidRPr="00B86E79" w:rsidRDefault="00586C07" w:rsidP="001E7D45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</w:t>
            </w:r>
            <w:r w:rsidR="001E7D45"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Density at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15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0</w:t>
            </w:r>
            <w:r w:rsidR="00A235B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 (kg/m</w:t>
            </w:r>
            <w:r w:rsidR="00A235B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3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6768D" w:rsidP="0046768D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9</w:t>
            </w:r>
            <w:r w:rsidR="00415005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6594:2007 (ASTM D1298-05)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160 /ISO 3675 /ISO 12185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2.Độ nhớt động học ở 50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C, </w:t>
            </w:r>
            <w:r w:rsidR="008036DB">
              <w:rPr>
                <w:rFonts w:ascii="Times New Roman" w:hAnsi="Times New Roman"/>
                <w:sz w:val="22"/>
                <w:szCs w:val="22"/>
                <w:lang w:eastAsia="zh-CN"/>
              </w:rPr>
              <w:t>cS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t, max.</w:t>
            </w:r>
          </w:p>
          <w:p w:rsidR="00C51E80" w:rsidRPr="00B86E79" w:rsidRDefault="00C51E80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Viscosity at 50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 (mm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2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/s)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6768D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BB5999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14,0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3171:2007 (ASTM D445-06)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71-1 /ISO 3104</w:t>
            </w:r>
          </w:p>
        </w:tc>
      </w:tr>
      <w:tr w:rsidR="001A005C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05C" w:rsidRPr="00B86E79" w:rsidRDefault="001A005C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3.Điểm chớp cháy cốc kín, 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C, min.</w:t>
            </w:r>
          </w:p>
          <w:p w:rsidR="001A005C" w:rsidRPr="00B86E79" w:rsidRDefault="001A005C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Flash point (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05C" w:rsidRPr="00B86E79" w:rsidRDefault="001A005C" w:rsidP="001A005C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05C" w:rsidRPr="00B86E79" w:rsidRDefault="001A00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2693:2007 (ASTM D93-06)</w:t>
            </w:r>
          </w:p>
          <w:p w:rsidR="001A005C" w:rsidRPr="00B86E79" w:rsidRDefault="001A00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34 /ISO 2719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C51E80">
            <w:pPr>
              <w:spacing w:before="120" w:after="60" w:line="240" w:lineRule="auto"/>
              <w:ind w:left="236" w:hanging="2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4.Cặn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cacbon của 10% cặn chưng cất, % khối lượng, max.</w:t>
            </w:r>
          </w:p>
          <w:p w:rsidR="00C51E80" w:rsidRPr="00B86E79" w:rsidRDefault="00C51E80" w:rsidP="00C51E80">
            <w:pPr>
              <w:spacing w:before="120" w:after="60" w:line="240" w:lineRule="auto"/>
              <w:ind w:left="146" w:hanging="146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Micro Carbon Residue at 10%  Residue (% m/m)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6768D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0,30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6768D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TCVN 6324:2006 (ASTM D189-05)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/IP 13 /ISO 10370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C51E80">
            <w:pPr>
              <w:spacing w:before="120" w:after="60" w:line="240" w:lineRule="auto"/>
              <w:ind w:left="146" w:hanging="14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5.Hàm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lưu huỳnh, % khối lượng, max.</w:t>
            </w:r>
          </w:p>
          <w:p w:rsidR="00C51E80" w:rsidRPr="00B86E79" w:rsidRDefault="00C51E80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Sulfur (% m/m)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6768D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6768D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3172:2008 (ASTM D4294-06)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336 /ISO 8754 /IP 61 /ISO 14596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6.Hàm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tro, % khối lượng, max.</w:t>
            </w:r>
          </w:p>
          <w:p w:rsidR="00C51E80" w:rsidRPr="00B86E79" w:rsidRDefault="00C51E80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Ash (% m/m)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B152B0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B152B0" w:rsidP="00BB5999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0,0</w:t>
            </w:r>
            <w:r w:rsidR="00BB5999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2690:2007 (ASTM D482-03)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4 /ISO 6245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7.Điểm đông đặc, 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</w:t>
            </w:r>
          </w:p>
          <w:p w:rsidR="00B152B0" w:rsidRPr="00B86E79" w:rsidRDefault="00C54643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Pour point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012EF0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BB5999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3753:2007 (ASTM D97-05a)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15 /ISO 3016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8.Hàm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nước, % thể tích, max.</w:t>
            </w:r>
          </w:p>
          <w:p w:rsidR="00BB1065" w:rsidRPr="00B86E79" w:rsidRDefault="00BB1065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Water (% V/V)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012EF0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BB1065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0,3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TCVN 2692:2007 (ASTM D95-05e1)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/IP 74 /ISO 3733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BB1065">
            <w:pPr>
              <w:spacing w:before="120" w:after="60" w:line="240" w:lineRule="auto"/>
              <w:ind w:left="236" w:hanging="2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9.Hàm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kim loại vanadium, ppm, max.</w:t>
            </w:r>
          </w:p>
          <w:p w:rsidR="00BB1065" w:rsidRPr="00B86E79" w:rsidRDefault="00BB1065" w:rsidP="00BB1065">
            <w:pPr>
              <w:spacing w:before="120" w:after="60" w:line="240" w:lineRule="auto"/>
              <w:ind w:left="236" w:hanging="236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="00415005"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Vanadium (mg/kg)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415005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BB5999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ISO 14597 /IP 470 /IP 501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10.Hàm lượng kim loại nhôm và silic, ppm, max</w:t>
            </w:r>
          </w:p>
          <w:p w:rsidR="00995F04" w:rsidRPr="00B86E79" w:rsidRDefault="00995F04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="006F34C0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Aluminium + Silicon (mg/kg)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995F04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995F04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ASTM D5184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377 /ISO 10478 /IP 470 /IP 501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11</w:t>
            </w: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cặn tổng tiềm ẩn, % khối lượng, max.</w:t>
            </w:r>
          </w:p>
          <w:p w:rsidR="001C125C" w:rsidRPr="00B86E79" w:rsidRDefault="001C125C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 Total Sediment Existent (% m/m)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012EF0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ASTM D4870</w:t>
            </w:r>
          </w:p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/ISO 10307-2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12</w:t>
            </w: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kẽm, ppm, max.</w:t>
            </w:r>
          </w:p>
          <w:p w:rsidR="006F34C0" w:rsidRPr="00B86E79" w:rsidRDefault="006F34C0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 xml:space="preserve"> 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Zinc (mg/kg)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6F34C0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IP 501 /IP 470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13</w:t>
            </w: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phốt pho, ppm, max.</w:t>
            </w:r>
          </w:p>
          <w:p w:rsidR="006F34C0" w:rsidRPr="00B86E79" w:rsidRDefault="001C125C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Phosphorus (mg/kg)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1C12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IP 501 /IP 500</w:t>
            </w:r>
          </w:p>
        </w:tc>
      </w:tr>
      <w:tr w:rsidR="002F7F6E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14</w:t>
            </w:r>
            <w:proofErr w:type="gramStart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.Hàm</w:t>
            </w:r>
            <w:proofErr w:type="gramEnd"/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lượng canxi, ppm, max.</w:t>
            </w:r>
          </w:p>
          <w:p w:rsidR="001C125C" w:rsidRPr="00B86E79" w:rsidRDefault="001C125C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Calcium (mg/kg)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1C12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F6E" w:rsidRPr="00B86E79" w:rsidRDefault="002F7F6E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IP 501 /IP 470</w:t>
            </w:r>
          </w:p>
        </w:tc>
      </w:tr>
      <w:tr w:rsidR="001C125C" w:rsidRPr="00B86E79" w:rsidTr="00704288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5C" w:rsidRPr="00B86E79" w:rsidRDefault="001C125C" w:rsidP="002F7F6E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Hình thức</w:t>
            </w:r>
          </w:p>
          <w:p w:rsidR="001C125C" w:rsidRPr="00B86E79" w:rsidRDefault="001C125C" w:rsidP="001C125C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  Appearance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5C" w:rsidRPr="00B86E79" w:rsidRDefault="001C12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Trong &amp; sáng</w:t>
            </w:r>
          </w:p>
          <w:p w:rsidR="001C125C" w:rsidRPr="00B86E79" w:rsidRDefault="001C12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Clear &amp; Bright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5C" w:rsidRPr="00B86E79" w:rsidRDefault="001C125C" w:rsidP="002F7F6E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874554" w:rsidRPr="00B86E79" w:rsidRDefault="00874554" w:rsidP="00874554">
      <w:pPr>
        <w:ind w:firstLine="0"/>
        <w:jc w:val="left"/>
        <w:outlineLvl w:val="0"/>
        <w:rPr>
          <w:rFonts w:ascii="Times New Roman" w:hAnsi="Times New Roman"/>
          <w:sz w:val="16"/>
          <w:szCs w:val="16"/>
        </w:rPr>
      </w:pPr>
    </w:p>
    <w:p w:rsidR="00504B26" w:rsidRPr="00B86E79" w:rsidRDefault="0046768D" w:rsidP="004538A1">
      <w:pPr>
        <w:pStyle w:val="ListParagraph"/>
        <w:numPr>
          <w:ilvl w:val="0"/>
          <w:numId w:val="40"/>
        </w:numPr>
        <w:ind w:left="81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Dầu </w:t>
      </w:r>
      <w:r w:rsidRPr="00B86E79">
        <w:rPr>
          <w:rFonts w:ascii="Times New Roman" w:hAnsi="Times New Roman"/>
          <w:b/>
          <w:sz w:val="26"/>
          <w:szCs w:val="26"/>
        </w:rPr>
        <w:t>F</w:t>
      </w:r>
      <w:r w:rsidR="00504B26" w:rsidRPr="00B86E79">
        <w:rPr>
          <w:rFonts w:ascii="Times New Roman" w:hAnsi="Times New Roman"/>
          <w:b/>
          <w:sz w:val="26"/>
          <w:szCs w:val="26"/>
        </w:rPr>
        <w:t>O</w:t>
      </w:r>
      <w:r w:rsidR="00504B26" w:rsidRPr="00B86E79">
        <w:rPr>
          <w:rFonts w:ascii="Times New Roman" w:hAnsi="Times New Roman"/>
          <w:sz w:val="26"/>
          <w:szCs w:val="26"/>
        </w:rPr>
        <w:t xml:space="preserve"> (Marine </w:t>
      </w:r>
      <w:r w:rsidRPr="00B86E79">
        <w:rPr>
          <w:rFonts w:ascii="Times New Roman" w:hAnsi="Times New Roman"/>
          <w:sz w:val="26"/>
          <w:szCs w:val="26"/>
        </w:rPr>
        <w:t>Residual</w:t>
      </w:r>
      <w:r w:rsidR="00504B26" w:rsidRPr="00B86E79">
        <w:rPr>
          <w:rFonts w:ascii="Times New Roman" w:hAnsi="Times New Roman"/>
          <w:sz w:val="26"/>
          <w:szCs w:val="26"/>
        </w:rPr>
        <w:t xml:space="preserve"> Fuel</w:t>
      </w:r>
      <w:r w:rsidRPr="00B86E79">
        <w:rPr>
          <w:rFonts w:ascii="Times New Roman" w:hAnsi="Times New Roman"/>
          <w:sz w:val="26"/>
          <w:szCs w:val="26"/>
        </w:rPr>
        <w:t>s</w:t>
      </w:r>
      <w:r w:rsidR="00504B26" w:rsidRPr="00B86E79">
        <w:rPr>
          <w:rFonts w:ascii="Times New Roman" w:hAnsi="Times New Roman"/>
          <w:sz w:val="26"/>
          <w:szCs w:val="26"/>
        </w:rPr>
        <w:t>)</w:t>
      </w:r>
    </w:p>
    <w:p w:rsidR="00C60CB7" w:rsidRPr="00B86E79" w:rsidRDefault="009750DE" w:rsidP="00C60CB7">
      <w:pPr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ISO 8217</w:t>
      </w:r>
      <w:r w:rsidR="00C60CB7" w:rsidRPr="00B86E79">
        <w:rPr>
          <w:rFonts w:ascii="Times New Roman" w:hAnsi="Times New Roman"/>
          <w:sz w:val="26"/>
          <w:szCs w:val="26"/>
        </w:rPr>
        <w:t>:2005 xác định tiêu chuẩn cho các loại dầu FO khác nhau như RMA, RMB, RMD, RME, RMG, RMK.</w:t>
      </w:r>
      <w:proofErr w:type="gramEnd"/>
      <w:r w:rsidR="00C60CB7" w:rsidRPr="00B86E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0CB7" w:rsidRPr="00B86E79">
        <w:rPr>
          <w:rFonts w:ascii="Times New Roman" w:hAnsi="Times New Roman"/>
          <w:sz w:val="26"/>
          <w:szCs w:val="26"/>
        </w:rPr>
        <w:t>Hiện trên thị trường chủ yếu cung cấp hai loại RME180 và RMG380.</w:t>
      </w:r>
      <w:proofErr w:type="gramEnd"/>
    </w:p>
    <w:p w:rsidR="001F13A4" w:rsidRPr="00B86E79" w:rsidRDefault="001F13A4" w:rsidP="00C60CB7">
      <w:pPr>
        <w:outlineLvl w:val="0"/>
        <w:rPr>
          <w:rFonts w:ascii="Times New Roman" w:hAnsi="Times New Roman"/>
          <w:sz w:val="6"/>
          <w:szCs w:val="6"/>
        </w:rPr>
      </w:pPr>
    </w:p>
    <w:p w:rsidR="00AC3F96" w:rsidRPr="00B86E79" w:rsidRDefault="00AC3F96" w:rsidP="00C60CB7">
      <w:pPr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b/>
          <w:sz w:val="26"/>
          <w:szCs w:val="26"/>
        </w:rPr>
        <w:t>RME 180</w:t>
      </w:r>
      <w:r w:rsidRPr="00B86E79">
        <w:rPr>
          <w:rFonts w:ascii="Times New Roman" w:hAnsi="Times New Roman"/>
          <w:sz w:val="26"/>
          <w:szCs w:val="26"/>
        </w:rPr>
        <w:t xml:space="preserve">: Là tên hàng hóa của </w:t>
      </w:r>
      <w:r w:rsidR="00291CBA" w:rsidRPr="00B86E79">
        <w:rPr>
          <w:rFonts w:ascii="Times New Roman" w:hAnsi="Times New Roman"/>
          <w:sz w:val="26"/>
          <w:szCs w:val="26"/>
        </w:rPr>
        <w:t>nhiên liệu tàu</w:t>
      </w:r>
      <w:r w:rsidRPr="00B86E79">
        <w:rPr>
          <w:rFonts w:ascii="Times New Roman" w:hAnsi="Times New Roman"/>
          <w:sz w:val="26"/>
          <w:szCs w:val="26"/>
        </w:rPr>
        <w:t xml:space="preserve"> dùng cho động cơ tàu biển có độ nhớt lớn </w:t>
      </w:r>
      <w:r w:rsidR="00724DD6" w:rsidRPr="00B86E79">
        <w:rPr>
          <w:rFonts w:ascii="Times New Roman" w:hAnsi="Times New Roman"/>
          <w:sz w:val="26"/>
          <w:szCs w:val="26"/>
        </w:rPr>
        <w:t>nhất là 180 cS</w:t>
      </w:r>
      <w:r w:rsidRPr="00B86E79">
        <w:rPr>
          <w:rFonts w:ascii="Times New Roman" w:hAnsi="Times New Roman"/>
          <w:sz w:val="26"/>
          <w:szCs w:val="26"/>
        </w:rPr>
        <w:t>t và tương đương với loại RME 180 trong phân loại ISO 8217:2005.</w:t>
      </w:r>
    </w:p>
    <w:p w:rsidR="001F13A4" w:rsidRPr="00B86E79" w:rsidRDefault="001F13A4" w:rsidP="00C60CB7">
      <w:pPr>
        <w:outlineLvl w:val="0"/>
        <w:rPr>
          <w:rFonts w:ascii="Times New Roman" w:hAnsi="Times New Roman"/>
          <w:sz w:val="6"/>
          <w:szCs w:val="6"/>
        </w:rPr>
      </w:pPr>
    </w:p>
    <w:p w:rsidR="00AC3F96" w:rsidRPr="00B86E79" w:rsidRDefault="00AC3F96" w:rsidP="00C60CB7">
      <w:pPr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b/>
          <w:sz w:val="26"/>
          <w:szCs w:val="26"/>
        </w:rPr>
        <w:t>RMG 380</w:t>
      </w:r>
      <w:r w:rsidRPr="00B86E79">
        <w:rPr>
          <w:rFonts w:ascii="Times New Roman" w:hAnsi="Times New Roman"/>
          <w:sz w:val="26"/>
          <w:szCs w:val="26"/>
        </w:rPr>
        <w:t xml:space="preserve">: Là tên hàng hóa của </w:t>
      </w:r>
      <w:r w:rsidR="00291CBA" w:rsidRPr="00B86E79">
        <w:rPr>
          <w:rFonts w:ascii="Times New Roman" w:hAnsi="Times New Roman"/>
          <w:sz w:val="26"/>
          <w:szCs w:val="26"/>
        </w:rPr>
        <w:t>nhiên liệu tàu</w:t>
      </w:r>
      <w:r w:rsidRPr="00B86E79">
        <w:rPr>
          <w:rFonts w:ascii="Times New Roman" w:hAnsi="Times New Roman"/>
          <w:sz w:val="26"/>
          <w:szCs w:val="26"/>
        </w:rPr>
        <w:t xml:space="preserve"> dùng cho động cơ tàu biển có độ nhớt lớn nhất là 380 cSt và tương đương với loại RMG 380 trong phân loại ISO 8217:2005.</w:t>
      </w:r>
    </w:p>
    <w:p w:rsidR="0046768D" w:rsidRPr="00B86E79" w:rsidRDefault="0046768D" w:rsidP="00C60CB7">
      <w:pPr>
        <w:outlineLvl w:val="0"/>
        <w:rPr>
          <w:rFonts w:ascii="Times New Roman" w:hAnsi="Times New Roman"/>
          <w:sz w:val="16"/>
          <w:szCs w:val="16"/>
        </w:rPr>
      </w:pPr>
    </w:p>
    <w:tbl>
      <w:tblPr>
        <w:tblW w:w="9580" w:type="dxa"/>
        <w:jc w:val="center"/>
        <w:tblCellMar>
          <w:left w:w="0" w:type="dxa"/>
          <w:right w:w="0" w:type="dxa"/>
        </w:tblCellMar>
        <w:tblLook w:val="04A0"/>
      </w:tblPr>
      <w:tblGrid>
        <w:gridCol w:w="3616"/>
        <w:gridCol w:w="1080"/>
        <w:gridCol w:w="1080"/>
        <w:gridCol w:w="3804"/>
      </w:tblGrid>
      <w:tr w:rsidR="0046768D" w:rsidRPr="00B86E79" w:rsidTr="00E6136B">
        <w:trPr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Tên chỉ tiêu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Mức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Phương pháp thử</w:t>
            </w:r>
          </w:p>
        </w:tc>
      </w:tr>
      <w:tr w:rsidR="0046768D" w:rsidRPr="00B86E79" w:rsidTr="00057721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D" w:rsidRPr="00B86E79" w:rsidRDefault="0046768D" w:rsidP="00E613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EB3A2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RME</w:t>
            </w:r>
          </w:p>
          <w:p w:rsidR="00EB3A2D" w:rsidRPr="00B86E79" w:rsidRDefault="00EB3A2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EB3A2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RMG</w:t>
            </w:r>
          </w:p>
          <w:p w:rsidR="00EB3A2D" w:rsidRPr="00B86E79" w:rsidRDefault="00EB3A2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D" w:rsidRPr="00B86E79" w:rsidRDefault="0046768D" w:rsidP="00E613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46768D" w:rsidRPr="00B86E79" w:rsidTr="00E6136B">
        <w:trPr>
          <w:jc w:val="center"/>
        </w:trPr>
        <w:tc>
          <w:tcPr>
            <w:tcW w:w="36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Khối lượng riêng ở 15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C, kg/l, max.</w:t>
            </w:r>
          </w:p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Density at 15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 (kg/m3)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EB3A2D" w:rsidP="00EB3A2D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99</w:t>
            </w:r>
            <w:r w:rsidR="00D448F2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991,1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6594:2007 (ASTM D1298-05)</w:t>
            </w:r>
          </w:p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160 /ISO 3675 /ISO 12185</w:t>
            </w:r>
          </w:p>
        </w:tc>
      </w:tr>
      <w:tr w:rsidR="0046768D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Độ nhớt động học ở 50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C, max.</w:t>
            </w:r>
          </w:p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Viscosity at 50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 (mm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2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/s)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3171:2007 (ASTM D445-06)</w:t>
            </w:r>
          </w:p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71-1 /ISO 3104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Điểm chớp cháy cốc kín, 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C, min.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Flash point (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2693:2007 (ASTM D93-06)</w:t>
            </w:r>
          </w:p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34 /ISO 2719</w:t>
            </w:r>
          </w:p>
        </w:tc>
      </w:tr>
      <w:tr w:rsidR="0046768D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left="236" w:hanging="2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4.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Cặn cacbon</w:t>
            </w:r>
            <w:r w:rsidR="0046768D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, % khối lượng, max.</w:t>
            </w:r>
          </w:p>
          <w:p w:rsidR="0046768D" w:rsidRPr="00B86E79" w:rsidRDefault="0046768D" w:rsidP="00D448F2">
            <w:pPr>
              <w:spacing w:before="120" w:after="60" w:line="240" w:lineRule="auto"/>
              <w:ind w:left="146" w:hanging="146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Micro Carbon Residue (% m/m)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TCVN 6324:2006 (ASTM D189-05)</w:t>
            </w:r>
          </w:p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/IP 13 /ISO 10370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146" w:hanging="14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5.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lưu huỳnh, % khối lượng, max.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Sulfur (% m/m) 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4,5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3172:2008 (ASTM D4294-06)</w:t>
            </w:r>
          </w:p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336 /ISO 8754 /IP 61 /ISO 14596</w:t>
            </w:r>
          </w:p>
        </w:tc>
      </w:tr>
      <w:tr w:rsidR="0046768D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6.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tro, % khối lượng, max.</w:t>
            </w:r>
          </w:p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Ash (% m/m)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0,10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0,15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2690:2007 (ASTM D482-03)</w:t>
            </w:r>
          </w:p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4 /ISO 6245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7.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Điểm đông đặc, </w:t>
            </w:r>
            <w:r w:rsidRPr="00B86E79">
              <w:rPr>
                <w:rFonts w:ascii="Times New Roman" w:hAnsi="Times New Roman"/>
                <w:sz w:val="22"/>
                <w:szCs w:val="22"/>
                <w:vertAlign w:val="superscript"/>
                <w:lang w:eastAsia="zh-CN"/>
              </w:rPr>
              <w:t>0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C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Pour point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TCVN 3753:2007 (ASTM D97-05a)</w:t>
            </w:r>
          </w:p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15 /ISO 3016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8.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nước, % thể tích, max.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Water (% V/V)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TCVN 2692:2007 (ASTM D95-05e1)</w:t>
            </w:r>
          </w:p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val="nl-NL" w:eastAsia="zh-CN"/>
              </w:rPr>
              <w:t>/IP 74 /ISO 3733</w:t>
            </w:r>
          </w:p>
        </w:tc>
      </w:tr>
      <w:tr w:rsidR="0046768D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left="236" w:hanging="2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9.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kim loại vanadium, ppm, max.</w:t>
            </w:r>
          </w:p>
          <w:p w:rsidR="0046768D" w:rsidRPr="00B86E79" w:rsidRDefault="0046768D" w:rsidP="00E6136B">
            <w:pPr>
              <w:spacing w:before="120" w:after="60" w:line="240" w:lineRule="auto"/>
              <w:ind w:left="236" w:hanging="236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Vanadium (mg/kg)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D448F2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ISO 14597 /IP 470 /IP 501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10.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kim loại nhôm và silic, ppm, max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Aluminium + Silicon (mg/kg)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ASTM D5184</w:t>
            </w:r>
          </w:p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/IP 377 /ISO 10478 /IP 470 /IP 501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11.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Hàm lượng cặn tổng tiềm ẩn, % 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khối lượng, max.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 Total Sediment Existent (% m/m)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ASTM D4870</w:t>
            </w:r>
          </w:p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/ISO 10307-2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12.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kẽm, ppm, max.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Zinc (mg/kg)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IP 501 /IP 470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13.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phốt pho, ppm, max.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Phosphorus (mg/kg)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IP 501 /IP 500</w:t>
            </w:r>
          </w:p>
        </w:tc>
      </w:tr>
      <w:tr w:rsidR="0015487B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14.</w:t>
            </w:r>
            <w:r w:rsidR="00EC560F"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Hàm lượng canxi, ppm, max.</w:t>
            </w:r>
          </w:p>
          <w:p w:rsidR="0015487B" w:rsidRPr="00B86E79" w:rsidRDefault="0015487B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</w:t>
            </w: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Calcium (mg/kg)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15487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7B" w:rsidRPr="00B86E79" w:rsidRDefault="0015487B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IP 501 /IP 470</w:t>
            </w:r>
          </w:p>
        </w:tc>
      </w:tr>
      <w:tr w:rsidR="0046768D" w:rsidRPr="00B86E79" w:rsidTr="00E6136B">
        <w:trPr>
          <w:jc w:val="center"/>
        </w:trPr>
        <w:tc>
          <w:tcPr>
            <w:tcW w:w="36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   Hình thức</w:t>
            </w:r>
          </w:p>
          <w:p w:rsidR="0046768D" w:rsidRPr="00B86E79" w:rsidRDefault="0046768D" w:rsidP="00E6136B">
            <w:pPr>
              <w:spacing w:before="120" w:after="60" w:line="240" w:lineRule="auto"/>
              <w:ind w:left="284" w:hanging="284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    Appearance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sz w:val="22"/>
                <w:szCs w:val="22"/>
                <w:lang w:eastAsia="zh-CN"/>
              </w:rPr>
              <w:t>Trong &amp; sáng</w:t>
            </w:r>
          </w:p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B86E79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Clear &amp; Bright</w:t>
            </w:r>
          </w:p>
        </w:tc>
        <w:tc>
          <w:tcPr>
            <w:tcW w:w="38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68D" w:rsidRPr="00B86E79" w:rsidRDefault="0046768D" w:rsidP="00E6136B">
            <w:pPr>
              <w:spacing w:before="120"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3E743B" w:rsidRPr="00B86E79" w:rsidRDefault="003E743B" w:rsidP="000D33C5">
      <w:pPr>
        <w:jc w:val="left"/>
        <w:outlineLvl w:val="0"/>
        <w:rPr>
          <w:rFonts w:ascii="Times New Roman" w:hAnsi="Times New Roman"/>
          <w:sz w:val="26"/>
          <w:szCs w:val="26"/>
        </w:rPr>
      </w:pPr>
    </w:p>
    <w:p w:rsidR="004538A1" w:rsidRPr="00B86E79" w:rsidRDefault="004538A1" w:rsidP="00331510">
      <w:pPr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Phụ lục VI MARPOL ra lộ trình về lộ trình áp dụng “Vùng Giới hạn Hàm lượng Lưu huỳnh – Emission Control Area’s (ECA’s)” như sau:</w:t>
      </w:r>
    </w:p>
    <w:p w:rsidR="00FB53A0" w:rsidRPr="00B86E79" w:rsidRDefault="004538A1" w:rsidP="00331510">
      <w:pPr>
        <w:pStyle w:val="ListParagraph"/>
        <w:numPr>
          <w:ilvl w:val="0"/>
          <w:numId w:val="40"/>
        </w:numPr>
        <w:ind w:left="81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Các khu vực, v</w:t>
      </w:r>
      <w:r w:rsidR="00FB53A0" w:rsidRPr="00B86E79">
        <w:rPr>
          <w:rFonts w:ascii="Times New Roman" w:hAnsi="Times New Roman"/>
          <w:sz w:val="26"/>
          <w:szCs w:val="26"/>
        </w:rPr>
        <w:t>ùng giới hạn</w:t>
      </w:r>
      <w:r w:rsidR="000D5CBA" w:rsidRPr="00B86E79">
        <w:rPr>
          <w:rFonts w:ascii="Times New Roman" w:hAnsi="Times New Roman"/>
          <w:sz w:val="26"/>
          <w:szCs w:val="26"/>
        </w:rPr>
        <w:t xml:space="preserve"> bao gồm: </w:t>
      </w:r>
      <w:r w:rsidR="00FB53A0" w:rsidRPr="00B86E79">
        <w:rPr>
          <w:rFonts w:ascii="Times New Roman" w:hAnsi="Times New Roman"/>
          <w:sz w:val="26"/>
          <w:szCs w:val="26"/>
        </w:rPr>
        <w:t>Vùng Biển Bắc và Biển Ban-tích</w:t>
      </w:r>
      <w:r w:rsidR="000D5CBA" w:rsidRPr="00B86E79">
        <w:rPr>
          <w:rFonts w:ascii="Times New Roman" w:hAnsi="Times New Roman"/>
          <w:sz w:val="26"/>
          <w:szCs w:val="26"/>
        </w:rPr>
        <w:t xml:space="preserve">, Vùng Biển Bắc Mỹ, </w:t>
      </w:r>
      <w:r w:rsidR="00FB53A0" w:rsidRPr="00B86E79">
        <w:rPr>
          <w:rFonts w:ascii="Times New Roman" w:hAnsi="Times New Roman"/>
          <w:sz w:val="26"/>
          <w:szCs w:val="26"/>
        </w:rPr>
        <w:t>Vùng Biển Ca-</w:t>
      </w:r>
      <w:proofErr w:type="gramStart"/>
      <w:r w:rsidR="00FB53A0" w:rsidRPr="00B86E79">
        <w:rPr>
          <w:rFonts w:ascii="Times New Roman" w:hAnsi="Times New Roman"/>
          <w:sz w:val="26"/>
          <w:szCs w:val="26"/>
        </w:rPr>
        <w:t>ri-</w:t>
      </w:r>
      <w:proofErr w:type="gramEnd"/>
      <w:r w:rsidR="00FB53A0" w:rsidRPr="00B86E79">
        <w:rPr>
          <w:rFonts w:ascii="Times New Roman" w:hAnsi="Times New Roman"/>
          <w:sz w:val="26"/>
          <w:szCs w:val="26"/>
        </w:rPr>
        <w:t>bê.</w:t>
      </w:r>
    </w:p>
    <w:p w:rsidR="00FB53A0" w:rsidRPr="00B86E79" w:rsidRDefault="00FB53A0" w:rsidP="00331510">
      <w:pPr>
        <w:pStyle w:val="ListParagraph"/>
        <w:ind w:left="810" w:firstLine="0"/>
        <w:outlineLvl w:val="0"/>
        <w:rPr>
          <w:rFonts w:ascii="Times New Roman" w:hAnsi="Times New Roman"/>
          <w:sz w:val="16"/>
          <w:szCs w:val="16"/>
        </w:rPr>
      </w:pPr>
    </w:p>
    <w:p w:rsidR="00FB53A0" w:rsidRPr="00B86E79" w:rsidRDefault="00FB53A0" w:rsidP="00331510">
      <w:pPr>
        <w:pStyle w:val="ListParagraph"/>
        <w:numPr>
          <w:ilvl w:val="0"/>
          <w:numId w:val="40"/>
        </w:numPr>
        <w:ind w:left="81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Lộ trình</w:t>
      </w:r>
      <w:r w:rsidR="00FC5E13" w:rsidRPr="00B86E79">
        <w:rPr>
          <w:rFonts w:ascii="Times New Roman" w:hAnsi="Times New Roman"/>
          <w:sz w:val="26"/>
          <w:szCs w:val="26"/>
        </w:rPr>
        <w:t xml:space="preserve"> áp dụng</w:t>
      </w:r>
    </w:p>
    <w:p w:rsidR="00FB53A0" w:rsidRPr="00B86E79" w:rsidRDefault="00FB53A0" w:rsidP="00331510">
      <w:pPr>
        <w:pStyle w:val="ListParagraph"/>
        <w:ind w:left="810" w:firstLine="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 xml:space="preserve">-  </w:t>
      </w:r>
      <w:r w:rsidR="00411140" w:rsidRPr="00B86E79">
        <w:rPr>
          <w:rFonts w:ascii="Times New Roman" w:hAnsi="Times New Roman"/>
          <w:sz w:val="26"/>
          <w:szCs w:val="26"/>
        </w:rPr>
        <w:t>Từ 01/07/2010 ECA’s áp dụng mức từ 1</w:t>
      </w:r>
      <w:proofErr w:type="gramStart"/>
      <w:r w:rsidR="00411140" w:rsidRPr="00B86E79">
        <w:rPr>
          <w:rFonts w:ascii="Times New Roman" w:hAnsi="Times New Roman"/>
          <w:sz w:val="26"/>
          <w:szCs w:val="26"/>
        </w:rPr>
        <w:t>,5</w:t>
      </w:r>
      <w:proofErr w:type="gramEnd"/>
      <w:r w:rsidR="00411140" w:rsidRPr="00B86E79">
        <w:rPr>
          <w:rFonts w:ascii="Times New Roman" w:hAnsi="Times New Roman"/>
          <w:sz w:val="26"/>
          <w:szCs w:val="26"/>
        </w:rPr>
        <w:t>% - 1,0%.</w:t>
      </w:r>
    </w:p>
    <w:p w:rsidR="00411140" w:rsidRPr="00B86E79" w:rsidRDefault="00411140" w:rsidP="00331510">
      <w:pPr>
        <w:pStyle w:val="ListParagraph"/>
        <w:ind w:left="810" w:firstLine="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-  Từ 01/01/2012 Toàn cầu áp dụng mức từ 4</w:t>
      </w:r>
      <w:proofErr w:type="gramStart"/>
      <w:r w:rsidRPr="00B86E79">
        <w:rPr>
          <w:rFonts w:ascii="Times New Roman" w:hAnsi="Times New Roman"/>
          <w:sz w:val="26"/>
          <w:szCs w:val="26"/>
        </w:rPr>
        <w:t>,5</w:t>
      </w:r>
      <w:proofErr w:type="gramEnd"/>
      <w:r w:rsidRPr="00B86E79">
        <w:rPr>
          <w:rFonts w:ascii="Times New Roman" w:hAnsi="Times New Roman"/>
          <w:sz w:val="26"/>
          <w:szCs w:val="26"/>
        </w:rPr>
        <w:t>% - 3,5%.</w:t>
      </w:r>
    </w:p>
    <w:p w:rsidR="00411140" w:rsidRPr="00B86E79" w:rsidRDefault="00411140" w:rsidP="00331510">
      <w:pPr>
        <w:pStyle w:val="ListParagraph"/>
        <w:ind w:left="810" w:firstLine="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-  Từ 01/01/2015 ECA’s áp dụng mức từ 1</w:t>
      </w:r>
      <w:proofErr w:type="gramStart"/>
      <w:r w:rsidRPr="00B86E79">
        <w:rPr>
          <w:rFonts w:ascii="Times New Roman" w:hAnsi="Times New Roman"/>
          <w:sz w:val="26"/>
          <w:szCs w:val="26"/>
        </w:rPr>
        <w:t>,0</w:t>
      </w:r>
      <w:proofErr w:type="gramEnd"/>
      <w:r w:rsidRPr="00B86E79">
        <w:rPr>
          <w:rFonts w:ascii="Times New Roman" w:hAnsi="Times New Roman"/>
          <w:sz w:val="26"/>
          <w:szCs w:val="26"/>
        </w:rPr>
        <w:t>%.</w:t>
      </w:r>
    </w:p>
    <w:p w:rsidR="004538A1" w:rsidRPr="00B86E79" w:rsidRDefault="00411140" w:rsidP="00BF77C7">
      <w:pPr>
        <w:pStyle w:val="ListParagraph"/>
        <w:ind w:left="810" w:firstLine="0"/>
        <w:outlineLvl w:val="0"/>
        <w:rPr>
          <w:rFonts w:ascii="Times New Roman" w:hAnsi="Times New Roman"/>
          <w:sz w:val="26"/>
          <w:szCs w:val="26"/>
        </w:rPr>
      </w:pPr>
      <w:r w:rsidRPr="00B86E79">
        <w:rPr>
          <w:rFonts w:ascii="Times New Roman" w:hAnsi="Times New Roman"/>
          <w:sz w:val="26"/>
          <w:szCs w:val="26"/>
        </w:rPr>
        <w:t>-  Từ 01/01/20</w:t>
      </w:r>
      <w:r w:rsidR="00BF77C7">
        <w:rPr>
          <w:rFonts w:ascii="Times New Roman" w:hAnsi="Times New Roman"/>
          <w:sz w:val="26"/>
          <w:szCs w:val="26"/>
        </w:rPr>
        <w:t>20 Toàn cầu áp dụng mức từ 0</w:t>
      </w:r>
      <w:proofErr w:type="gramStart"/>
      <w:r w:rsidR="00BF77C7">
        <w:rPr>
          <w:rFonts w:ascii="Times New Roman" w:hAnsi="Times New Roman"/>
          <w:sz w:val="26"/>
          <w:szCs w:val="26"/>
        </w:rPr>
        <w:t>,5</w:t>
      </w:r>
      <w:proofErr w:type="gramEnd"/>
      <w:r w:rsidR="00BF77C7">
        <w:rPr>
          <w:rFonts w:ascii="Times New Roman" w:hAnsi="Times New Roman"/>
          <w:sz w:val="26"/>
          <w:szCs w:val="26"/>
        </w:rPr>
        <w:t>%</w:t>
      </w:r>
    </w:p>
    <w:sectPr w:rsidR="004538A1" w:rsidRPr="00B86E79" w:rsidSect="00BF77C7">
      <w:footerReference w:type="default" r:id="rId8"/>
      <w:pgSz w:w="11907" w:h="16840" w:code="9"/>
      <w:pgMar w:top="1138" w:right="1152" w:bottom="1138" w:left="158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01" w:rsidRDefault="00647C01">
      <w:r>
        <w:separator/>
      </w:r>
    </w:p>
  </w:endnote>
  <w:endnote w:type="continuationSeparator" w:id="0">
    <w:p w:rsidR="00647C01" w:rsidRDefault="0064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71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F77C7" w:rsidRDefault="00BF77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4E3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4E3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01" w:rsidRDefault="00647C01">
      <w:r>
        <w:separator/>
      </w:r>
    </w:p>
  </w:footnote>
  <w:footnote w:type="continuationSeparator" w:id="0">
    <w:p w:rsidR="00647C01" w:rsidRDefault="0064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5pt;height:10.5pt" o:bullet="t">
        <v:imagedata r:id="rId1" o:title="msoA8BE"/>
      </v:shape>
    </w:pict>
  </w:numPicBullet>
  <w:abstractNum w:abstractNumId="0">
    <w:nsid w:val="034172E5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3643044"/>
    <w:multiLevelType w:val="hybridMultilevel"/>
    <w:tmpl w:val="95C4FB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A79B4"/>
    <w:multiLevelType w:val="hybridMultilevel"/>
    <w:tmpl w:val="D77A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157B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CA599B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0B0713F"/>
    <w:multiLevelType w:val="hybridMultilevel"/>
    <w:tmpl w:val="78500EB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5432BC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5533899"/>
    <w:multiLevelType w:val="hybridMultilevel"/>
    <w:tmpl w:val="0CC2B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4090F"/>
    <w:multiLevelType w:val="hybridMultilevel"/>
    <w:tmpl w:val="6D2A74E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AA31849"/>
    <w:multiLevelType w:val="hybridMultilevel"/>
    <w:tmpl w:val="C784A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278D"/>
    <w:multiLevelType w:val="hybridMultilevel"/>
    <w:tmpl w:val="F9549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781"/>
    <w:multiLevelType w:val="hybridMultilevel"/>
    <w:tmpl w:val="9E884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059F7"/>
    <w:multiLevelType w:val="hybridMultilevel"/>
    <w:tmpl w:val="5720DD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6651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BF51E3F"/>
    <w:multiLevelType w:val="hybridMultilevel"/>
    <w:tmpl w:val="0BC28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317FE9"/>
    <w:multiLevelType w:val="hybridMultilevel"/>
    <w:tmpl w:val="760C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0A53"/>
    <w:multiLevelType w:val="hybridMultilevel"/>
    <w:tmpl w:val="7B3AFA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BE0BBC"/>
    <w:multiLevelType w:val="hybridMultilevel"/>
    <w:tmpl w:val="9CD28CA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89A345B"/>
    <w:multiLevelType w:val="hybridMultilevel"/>
    <w:tmpl w:val="47AE609C"/>
    <w:lvl w:ilvl="0" w:tplc="1E38B0AC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E450FC7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0C7558C"/>
    <w:multiLevelType w:val="hybridMultilevel"/>
    <w:tmpl w:val="21FAF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E36DA"/>
    <w:multiLevelType w:val="hybridMultilevel"/>
    <w:tmpl w:val="125CD90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44E65C6F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E305995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0DB3479"/>
    <w:multiLevelType w:val="hybridMultilevel"/>
    <w:tmpl w:val="703AE3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C17663"/>
    <w:multiLevelType w:val="hybridMultilevel"/>
    <w:tmpl w:val="1D9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1F55"/>
    <w:multiLevelType w:val="hybridMultilevel"/>
    <w:tmpl w:val="6B063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8E678D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B616D56"/>
    <w:multiLevelType w:val="hybridMultilevel"/>
    <w:tmpl w:val="90E2B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1D3887"/>
    <w:multiLevelType w:val="hybridMultilevel"/>
    <w:tmpl w:val="BAA84B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B33B8D"/>
    <w:multiLevelType w:val="hybridMultilevel"/>
    <w:tmpl w:val="C61486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556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694B9A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4794975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53315DA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6842125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8AA05DF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BB84413"/>
    <w:multiLevelType w:val="hybridMultilevel"/>
    <w:tmpl w:val="8C44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85D79"/>
    <w:multiLevelType w:val="hybridMultilevel"/>
    <w:tmpl w:val="7E1682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870F7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6B53E2F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D1864FF"/>
    <w:multiLevelType w:val="singleLevel"/>
    <w:tmpl w:val="0B540F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F7E6147"/>
    <w:multiLevelType w:val="hybridMultilevel"/>
    <w:tmpl w:val="3BB03940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3"/>
  </w:num>
  <w:num w:numId="4">
    <w:abstractNumId w:val="23"/>
  </w:num>
  <w:num w:numId="5">
    <w:abstractNumId w:val="35"/>
  </w:num>
  <w:num w:numId="6">
    <w:abstractNumId w:val="19"/>
  </w:num>
  <w:num w:numId="7">
    <w:abstractNumId w:val="39"/>
  </w:num>
  <w:num w:numId="8">
    <w:abstractNumId w:val="0"/>
  </w:num>
  <w:num w:numId="9">
    <w:abstractNumId w:val="4"/>
  </w:num>
  <w:num w:numId="10">
    <w:abstractNumId w:val="27"/>
  </w:num>
  <w:num w:numId="11">
    <w:abstractNumId w:val="31"/>
  </w:num>
  <w:num w:numId="12">
    <w:abstractNumId w:val="34"/>
  </w:num>
  <w:num w:numId="13">
    <w:abstractNumId w:val="6"/>
  </w:num>
  <w:num w:numId="14">
    <w:abstractNumId w:val="3"/>
  </w:num>
  <w:num w:numId="15">
    <w:abstractNumId w:val="22"/>
  </w:num>
  <w:num w:numId="16">
    <w:abstractNumId w:val="32"/>
  </w:num>
  <w:num w:numId="17">
    <w:abstractNumId w:val="13"/>
  </w:num>
  <w:num w:numId="18">
    <w:abstractNumId w:val="40"/>
  </w:num>
  <w:num w:numId="19">
    <w:abstractNumId w:val="15"/>
  </w:num>
  <w:num w:numId="20">
    <w:abstractNumId w:val="2"/>
  </w:num>
  <w:num w:numId="21">
    <w:abstractNumId w:val="17"/>
  </w:num>
  <w:num w:numId="22">
    <w:abstractNumId w:val="18"/>
  </w:num>
  <w:num w:numId="23">
    <w:abstractNumId w:val="28"/>
  </w:num>
  <w:num w:numId="24">
    <w:abstractNumId w:val="5"/>
  </w:num>
  <w:num w:numId="25">
    <w:abstractNumId w:val="37"/>
  </w:num>
  <w:num w:numId="26">
    <w:abstractNumId w:val="14"/>
  </w:num>
  <w:num w:numId="27">
    <w:abstractNumId w:val="11"/>
  </w:num>
  <w:num w:numId="28">
    <w:abstractNumId w:val="9"/>
  </w:num>
  <w:num w:numId="29">
    <w:abstractNumId w:val="38"/>
  </w:num>
  <w:num w:numId="30">
    <w:abstractNumId w:val="26"/>
  </w:num>
  <w:num w:numId="31">
    <w:abstractNumId w:val="1"/>
  </w:num>
  <w:num w:numId="32">
    <w:abstractNumId w:val="12"/>
  </w:num>
  <w:num w:numId="33">
    <w:abstractNumId w:val="29"/>
  </w:num>
  <w:num w:numId="34">
    <w:abstractNumId w:val="30"/>
  </w:num>
  <w:num w:numId="35">
    <w:abstractNumId w:val="24"/>
  </w:num>
  <w:num w:numId="36">
    <w:abstractNumId w:val="21"/>
  </w:num>
  <w:num w:numId="37">
    <w:abstractNumId w:val="10"/>
  </w:num>
  <w:num w:numId="38">
    <w:abstractNumId w:val="25"/>
  </w:num>
  <w:num w:numId="39">
    <w:abstractNumId w:val="42"/>
  </w:num>
  <w:num w:numId="40">
    <w:abstractNumId w:val="20"/>
  </w:num>
  <w:num w:numId="41">
    <w:abstractNumId w:val="16"/>
  </w:num>
  <w:num w:numId="42">
    <w:abstractNumId w:val="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A4F59"/>
    <w:rsid w:val="0000289C"/>
    <w:rsid w:val="00006F55"/>
    <w:rsid w:val="00007C7F"/>
    <w:rsid w:val="00012EF0"/>
    <w:rsid w:val="00025F72"/>
    <w:rsid w:val="000272BE"/>
    <w:rsid w:val="00032BDB"/>
    <w:rsid w:val="00033B2C"/>
    <w:rsid w:val="00041813"/>
    <w:rsid w:val="000423DA"/>
    <w:rsid w:val="00046318"/>
    <w:rsid w:val="000521A3"/>
    <w:rsid w:val="00056D6F"/>
    <w:rsid w:val="00057721"/>
    <w:rsid w:val="00065792"/>
    <w:rsid w:val="000707E6"/>
    <w:rsid w:val="000738B5"/>
    <w:rsid w:val="0007556E"/>
    <w:rsid w:val="000759D8"/>
    <w:rsid w:val="00080159"/>
    <w:rsid w:val="00082125"/>
    <w:rsid w:val="0008277C"/>
    <w:rsid w:val="00082EE8"/>
    <w:rsid w:val="00086050"/>
    <w:rsid w:val="000867FE"/>
    <w:rsid w:val="000909FC"/>
    <w:rsid w:val="00091359"/>
    <w:rsid w:val="0009605B"/>
    <w:rsid w:val="000A1D5F"/>
    <w:rsid w:val="000A5F37"/>
    <w:rsid w:val="000A7AF3"/>
    <w:rsid w:val="000B112F"/>
    <w:rsid w:val="000C0A3C"/>
    <w:rsid w:val="000C1790"/>
    <w:rsid w:val="000C2391"/>
    <w:rsid w:val="000D33C5"/>
    <w:rsid w:val="000D3505"/>
    <w:rsid w:val="000D4DFA"/>
    <w:rsid w:val="000D5B05"/>
    <w:rsid w:val="000D5CBA"/>
    <w:rsid w:val="000E1152"/>
    <w:rsid w:val="000E3631"/>
    <w:rsid w:val="000E65E3"/>
    <w:rsid w:val="000F00A7"/>
    <w:rsid w:val="000F2686"/>
    <w:rsid w:val="00100AF1"/>
    <w:rsid w:val="00100B44"/>
    <w:rsid w:val="0010168B"/>
    <w:rsid w:val="001019CB"/>
    <w:rsid w:val="00103DBC"/>
    <w:rsid w:val="00110348"/>
    <w:rsid w:val="001121C6"/>
    <w:rsid w:val="00115A29"/>
    <w:rsid w:val="001164AF"/>
    <w:rsid w:val="0011738B"/>
    <w:rsid w:val="001212FF"/>
    <w:rsid w:val="00130DFF"/>
    <w:rsid w:val="001333ED"/>
    <w:rsid w:val="00136E7C"/>
    <w:rsid w:val="001432B7"/>
    <w:rsid w:val="00144960"/>
    <w:rsid w:val="00150E07"/>
    <w:rsid w:val="0015487B"/>
    <w:rsid w:val="0017133E"/>
    <w:rsid w:val="001753DD"/>
    <w:rsid w:val="00185234"/>
    <w:rsid w:val="0018754C"/>
    <w:rsid w:val="00187B68"/>
    <w:rsid w:val="00197AFA"/>
    <w:rsid w:val="00197E34"/>
    <w:rsid w:val="001A005C"/>
    <w:rsid w:val="001A2B55"/>
    <w:rsid w:val="001A4F59"/>
    <w:rsid w:val="001B06A4"/>
    <w:rsid w:val="001B4016"/>
    <w:rsid w:val="001B45DC"/>
    <w:rsid w:val="001B6516"/>
    <w:rsid w:val="001B692B"/>
    <w:rsid w:val="001B7582"/>
    <w:rsid w:val="001C030D"/>
    <w:rsid w:val="001C125C"/>
    <w:rsid w:val="001C2DEB"/>
    <w:rsid w:val="001C4199"/>
    <w:rsid w:val="001C4743"/>
    <w:rsid w:val="001C4A1C"/>
    <w:rsid w:val="001D0FF0"/>
    <w:rsid w:val="001D1344"/>
    <w:rsid w:val="001D4C8C"/>
    <w:rsid w:val="001E3FB7"/>
    <w:rsid w:val="001E68A3"/>
    <w:rsid w:val="001E7D45"/>
    <w:rsid w:val="001F13A4"/>
    <w:rsid w:val="001F3029"/>
    <w:rsid w:val="001F51D5"/>
    <w:rsid w:val="001F687B"/>
    <w:rsid w:val="00201BA0"/>
    <w:rsid w:val="00210F4F"/>
    <w:rsid w:val="0021277A"/>
    <w:rsid w:val="00215716"/>
    <w:rsid w:val="00221A4B"/>
    <w:rsid w:val="00225516"/>
    <w:rsid w:val="002266ED"/>
    <w:rsid w:val="00230FF7"/>
    <w:rsid w:val="0023700C"/>
    <w:rsid w:val="00240585"/>
    <w:rsid w:val="002423A2"/>
    <w:rsid w:val="00242C8F"/>
    <w:rsid w:val="00242D8C"/>
    <w:rsid w:val="00250083"/>
    <w:rsid w:val="00250B8F"/>
    <w:rsid w:val="00251D15"/>
    <w:rsid w:val="00251D7B"/>
    <w:rsid w:val="00251F79"/>
    <w:rsid w:val="00252DA6"/>
    <w:rsid w:val="00254605"/>
    <w:rsid w:val="00254B32"/>
    <w:rsid w:val="00255BA2"/>
    <w:rsid w:val="00261B23"/>
    <w:rsid w:val="002624AE"/>
    <w:rsid w:val="00264974"/>
    <w:rsid w:val="0027007B"/>
    <w:rsid w:val="00270F6F"/>
    <w:rsid w:val="00272114"/>
    <w:rsid w:val="00273DEA"/>
    <w:rsid w:val="002769AF"/>
    <w:rsid w:val="00277F9C"/>
    <w:rsid w:val="00285774"/>
    <w:rsid w:val="00291CBA"/>
    <w:rsid w:val="0029300E"/>
    <w:rsid w:val="0029361C"/>
    <w:rsid w:val="00293B2B"/>
    <w:rsid w:val="00296987"/>
    <w:rsid w:val="00296C2A"/>
    <w:rsid w:val="002A0271"/>
    <w:rsid w:val="002A28CB"/>
    <w:rsid w:val="002A2AEF"/>
    <w:rsid w:val="002A51C5"/>
    <w:rsid w:val="002B60CF"/>
    <w:rsid w:val="002B75EF"/>
    <w:rsid w:val="002C2E91"/>
    <w:rsid w:val="002C3F60"/>
    <w:rsid w:val="002C4EDC"/>
    <w:rsid w:val="002D1773"/>
    <w:rsid w:val="002D585A"/>
    <w:rsid w:val="002E17F7"/>
    <w:rsid w:val="002E2B88"/>
    <w:rsid w:val="002E69F5"/>
    <w:rsid w:val="002F54E2"/>
    <w:rsid w:val="002F76A1"/>
    <w:rsid w:val="002F7F6E"/>
    <w:rsid w:val="003007C1"/>
    <w:rsid w:val="00302E73"/>
    <w:rsid w:val="00306AB5"/>
    <w:rsid w:val="0030798F"/>
    <w:rsid w:val="0031004B"/>
    <w:rsid w:val="00316D9E"/>
    <w:rsid w:val="00316F0F"/>
    <w:rsid w:val="00317261"/>
    <w:rsid w:val="003217FB"/>
    <w:rsid w:val="0032241E"/>
    <w:rsid w:val="00326544"/>
    <w:rsid w:val="00331510"/>
    <w:rsid w:val="00332DDF"/>
    <w:rsid w:val="0033553B"/>
    <w:rsid w:val="003503F7"/>
    <w:rsid w:val="00350A76"/>
    <w:rsid w:val="00351822"/>
    <w:rsid w:val="003528D0"/>
    <w:rsid w:val="00361D87"/>
    <w:rsid w:val="00363561"/>
    <w:rsid w:val="0037190C"/>
    <w:rsid w:val="00372B68"/>
    <w:rsid w:val="00372BF5"/>
    <w:rsid w:val="003738AA"/>
    <w:rsid w:val="003753BD"/>
    <w:rsid w:val="00375D3A"/>
    <w:rsid w:val="0037747F"/>
    <w:rsid w:val="003779BF"/>
    <w:rsid w:val="003806F5"/>
    <w:rsid w:val="00382272"/>
    <w:rsid w:val="003830F9"/>
    <w:rsid w:val="003861B1"/>
    <w:rsid w:val="00386263"/>
    <w:rsid w:val="003878B1"/>
    <w:rsid w:val="00390414"/>
    <w:rsid w:val="00393A65"/>
    <w:rsid w:val="00395FA5"/>
    <w:rsid w:val="003966C9"/>
    <w:rsid w:val="003A1AAF"/>
    <w:rsid w:val="003A5577"/>
    <w:rsid w:val="003A6904"/>
    <w:rsid w:val="003A7631"/>
    <w:rsid w:val="003B1B7D"/>
    <w:rsid w:val="003B292F"/>
    <w:rsid w:val="003B2C68"/>
    <w:rsid w:val="003B35F4"/>
    <w:rsid w:val="003B6819"/>
    <w:rsid w:val="003B7162"/>
    <w:rsid w:val="003C3570"/>
    <w:rsid w:val="003C5796"/>
    <w:rsid w:val="003C7A3F"/>
    <w:rsid w:val="003C7E01"/>
    <w:rsid w:val="003D063F"/>
    <w:rsid w:val="003D0C3D"/>
    <w:rsid w:val="003E1D1F"/>
    <w:rsid w:val="003E445E"/>
    <w:rsid w:val="003E743B"/>
    <w:rsid w:val="003F14D7"/>
    <w:rsid w:val="003F265E"/>
    <w:rsid w:val="003F3CFD"/>
    <w:rsid w:val="003F5FFF"/>
    <w:rsid w:val="003F6E6A"/>
    <w:rsid w:val="004023E4"/>
    <w:rsid w:val="00405763"/>
    <w:rsid w:val="00407172"/>
    <w:rsid w:val="00407EE9"/>
    <w:rsid w:val="00411140"/>
    <w:rsid w:val="00415005"/>
    <w:rsid w:val="00422EB1"/>
    <w:rsid w:val="00423475"/>
    <w:rsid w:val="004253D8"/>
    <w:rsid w:val="0042628B"/>
    <w:rsid w:val="0042730E"/>
    <w:rsid w:val="0043080C"/>
    <w:rsid w:val="0043388D"/>
    <w:rsid w:val="004355F2"/>
    <w:rsid w:val="004362CB"/>
    <w:rsid w:val="00436AEE"/>
    <w:rsid w:val="004538A1"/>
    <w:rsid w:val="004607A9"/>
    <w:rsid w:val="00460B0B"/>
    <w:rsid w:val="004619BD"/>
    <w:rsid w:val="0046280D"/>
    <w:rsid w:val="00463D72"/>
    <w:rsid w:val="00466E86"/>
    <w:rsid w:val="0046768D"/>
    <w:rsid w:val="00473278"/>
    <w:rsid w:val="0047420F"/>
    <w:rsid w:val="004753A8"/>
    <w:rsid w:val="004756C9"/>
    <w:rsid w:val="00481410"/>
    <w:rsid w:val="004828C0"/>
    <w:rsid w:val="00490E36"/>
    <w:rsid w:val="004911B0"/>
    <w:rsid w:val="00495A13"/>
    <w:rsid w:val="004A0156"/>
    <w:rsid w:val="004A6356"/>
    <w:rsid w:val="004B247C"/>
    <w:rsid w:val="004B2705"/>
    <w:rsid w:val="004B29B3"/>
    <w:rsid w:val="004B3C90"/>
    <w:rsid w:val="004B7FCC"/>
    <w:rsid w:val="004C11A1"/>
    <w:rsid w:val="004C3690"/>
    <w:rsid w:val="004C465F"/>
    <w:rsid w:val="004D2929"/>
    <w:rsid w:val="004D544A"/>
    <w:rsid w:val="004D6B24"/>
    <w:rsid w:val="004E3F4A"/>
    <w:rsid w:val="004E60C1"/>
    <w:rsid w:val="004F0BAD"/>
    <w:rsid w:val="004F3EFE"/>
    <w:rsid w:val="004F7C0A"/>
    <w:rsid w:val="00500570"/>
    <w:rsid w:val="00503CA3"/>
    <w:rsid w:val="005044D3"/>
    <w:rsid w:val="00504B26"/>
    <w:rsid w:val="0050643A"/>
    <w:rsid w:val="00506D17"/>
    <w:rsid w:val="00507B1B"/>
    <w:rsid w:val="005215DA"/>
    <w:rsid w:val="00530699"/>
    <w:rsid w:val="005318A7"/>
    <w:rsid w:val="00534E3C"/>
    <w:rsid w:val="00535A74"/>
    <w:rsid w:val="00540EFE"/>
    <w:rsid w:val="00541E00"/>
    <w:rsid w:val="00545891"/>
    <w:rsid w:val="00546293"/>
    <w:rsid w:val="00547779"/>
    <w:rsid w:val="00552C95"/>
    <w:rsid w:val="00557C61"/>
    <w:rsid w:val="00561F85"/>
    <w:rsid w:val="005622DD"/>
    <w:rsid w:val="0056261E"/>
    <w:rsid w:val="005748E6"/>
    <w:rsid w:val="00576BC4"/>
    <w:rsid w:val="00576DCB"/>
    <w:rsid w:val="00577167"/>
    <w:rsid w:val="00577C1B"/>
    <w:rsid w:val="00580988"/>
    <w:rsid w:val="00580F04"/>
    <w:rsid w:val="0058126C"/>
    <w:rsid w:val="00583D96"/>
    <w:rsid w:val="00586C07"/>
    <w:rsid w:val="005931EF"/>
    <w:rsid w:val="00596223"/>
    <w:rsid w:val="005A08EF"/>
    <w:rsid w:val="005A11FC"/>
    <w:rsid w:val="005B4408"/>
    <w:rsid w:val="005B71D8"/>
    <w:rsid w:val="005C23E5"/>
    <w:rsid w:val="005C5C69"/>
    <w:rsid w:val="005D22FE"/>
    <w:rsid w:val="005D2A3A"/>
    <w:rsid w:val="005E7861"/>
    <w:rsid w:val="005F48A8"/>
    <w:rsid w:val="00600981"/>
    <w:rsid w:val="00612B88"/>
    <w:rsid w:val="00614340"/>
    <w:rsid w:val="006170CC"/>
    <w:rsid w:val="0062008D"/>
    <w:rsid w:val="006200B4"/>
    <w:rsid w:val="006263FC"/>
    <w:rsid w:val="00626422"/>
    <w:rsid w:val="00637455"/>
    <w:rsid w:val="0064032A"/>
    <w:rsid w:val="00641B60"/>
    <w:rsid w:val="006473CE"/>
    <w:rsid w:val="00647C01"/>
    <w:rsid w:val="00653EA8"/>
    <w:rsid w:val="0065793E"/>
    <w:rsid w:val="00660068"/>
    <w:rsid w:val="0066180F"/>
    <w:rsid w:val="00661A63"/>
    <w:rsid w:val="00661F1A"/>
    <w:rsid w:val="00662B04"/>
    <w:rsid w:val="006638B8"/>
    <w:rsid w:val="00663C15"/>
    <w:rsid w:val="00664391"/>
    <w:rsid w:val="006651F8"/>
    <w:rsid w:val="0067638B"/>
    <w:rsid w:val="006808BC"/>
    <w:rsid w:val="00680EB9"/>
    <w:rsid w:val="0068193F"/>
    <w:rsid w:val="00684B9C"/>
    <w:rsid w:val="0068524A"/>
    <w:rsid w:val="006919A3"/>
    <w:rsid w:val="00693BA9"/>
    <w:rsid w:val="0069488D"/>
    <w:rsid w:val="006A3424"/>
    <w:rsid w:val="006A56F8"/>
    <w:rsid w:val="006A5E56"/>
    <w:rsid w:val="006A62A9"/>
    <w:rsid w:val="006B259E"/>
    <w:rsid w:val="006B54FD"/>
    <w:rsid w:val="006B799C"/>
    <w:rsid w:val="006C64B3"/>
    <w:rsid w:val="006C695F"/>
    <w:rsid w:val="006D0D9A"/>
    <w:rsid w:val="006D3400"/>
    <w:rsid w:val="006D49E7"/>
    <w:rsid w:val="006E18CB"/>
    <w:rsid w:val="006E3C38"/>
    <w:rsid w:val="006E4ACA"/>
    <w:rsid w:val="006E68E5"/>
    <w:rsid w:val="006E6F50"/>
    <w:rsid w:val="006F34C0"/>
    <w:rsid w:val="006F3EF9"/>
    <w:rsid w:val="006F548D"/>
    <w:rsid w:val="0070264C"/>
    <w:rsid w:val="00703EA5"/>
    <w:rsid w:val="00704288"/>
    <w:rsid w:val="00713459"/>
    <w:rsid w:val="007165DC"/>
    <w:rsid w:val="00723E59"/>
    <w:rsid w:val="00724DD6"/>
    <w:rsid w:val="00726CF1"/>
    <w:rsid w:val="007271AC"/>
    <w:rsid w:val="0072762B"/>
    <w:rsid w:val="00727A4D"/>
    <w:rsid w:val="00727AAC"/>
    <w:rsid w:val="00727F02"/>
    <w:rsid w:val="00730241"/>
    <w:rsid w:val="007343E1"/>
    <w:rsid w:val="007405E6"/>
    <w:rsid w:val="00740C67"/>
    <w:rsid w:val="00741DE2"/>
    <w:rsid w:val="00744228"/>
    <w:rsid w:val="00746A20"/>
    <w:rsid w:val="00754088"/>
    <w:rsid w:val="00756BBC"/>
    <w:rsid w:val="0076311D"/>
    <w:rsid w:val="00764CC8"/>
    <w:rsid w:val="00765556"/>
    <w:rsid w:val="00773859"/>
    <w:rsid w:val="00774823"/>
    <w:rsid w:val="00783ABF"/>
    <w:rsid w:val="007844AE"/>
    <w:rsid w:val="0078582D"/>
    <w:rsid w:val="0078723D"/>
    <w:rsid w:val="007927A1"/>
    <w:rsid w:val="00794944"/>
    <w:rsid w:val="00794A17"/>
    <w:rsid w:val="0079695F"/>
    <w:rsid w:val="007979D9"/>
    <w:rsid w:val="00797D95"/>
    <w:rsid w:val="007A2285"/>
    <w:rsid w:val="007B04F0"/>
    <w:rsid w:val="007C7130"/>
    <w:rsid w:val="007C7D7A"/>
    <w:rsid w:val="007C7E5E"/>
    <w:rsid w:val="007D051F"/>
    <w:rsid w:val="007D213D"/>
    <w:rsid w:val="007D4AF2"/>
    <w:rsid w:val="007D7538"/>
    <w:rsid w:val="007E28F1"/>
    <w:rsid w:val="007E4FA5"/>
    <w:rsid w:val="007E50EB"/>
    <w:rsid w:val="007E6AF7"/>
    <w:rsid w:val="007E76A4"/>
    <w:rsid w:val="007F3284"/>
    <w:rsid w:val="007F4003"/>
    <w:rsid w:val="007F4CEA"/>
    <w:rsid w:val="007F6960"/>
    <w:rsid w:val="007F6B9E"/>
    <w:rsid w:val="008020BC"/>
    <w:rsid w:val="008036DB"/>
    <w:rsid w:val="008046D7"/>
    <w:rsid w:val="008053C5"/>
    <w:rsid w:val="00806BF6"/>
    <w:rsid w:val="0081113E"/>
    <w:rsid w:val="008150C1"/>
    <w:rsid w:val="00815772"/>
    <w:rsid w:val="00815BDE"/>
    <w:rsid w:val="00817561"/>
    <w:rsid w:val="008176E7"/>
    <w:rsid w:val="00822BE3"/>
    <w:rsid w:val="00823C76"/>
    <w:rsid w:val="00824DAA"/>
    <w:rsid w:val="00826CE0"/>
    <w:rsid w:val="00827786"/>
    <w:rsid w:val="00832286"/>
    <w:rsid w:val="00836DA7"/>
    <w:rsid w:val="00837214"/>
    <w:rsid w:val="0083776C"/>
    <w:rsid w:val="00841D44"/>
    <w:rsid w:val="00845D21"/>
    <w:rsid w:val="00846E80"/>
    <w:rsid w:val="008476C8"/>
    <w:rsid w:val="00847E0D"/>
    <w:rsid w:val="0085150B"/>
    <w:rsid w:val="00853FC4"/>
    <w:rsid w:val="0086048F"/>
    <w:rsid w:val="00860E74"/>
    <w:rsid w:val="00871508"/>
    <w:rsid w:val="00874554"/>
    <w:rsid w:val="00880961"/>
    <w:rsid w:val="008851BA"/>
    <w:rsid w:val="008900B9"/>
    <w:rsid w:val="00896307"/>
    <w:rsid w:val="0089649B"/>
    <w:rsid w:val="008A028D"/>
    <w:rsid w:val="008A1EE1"/>
    <w:rsid w:val="008A304C"/>
    <w:rsid w:val="008A3F2B"/>
    <w:rsid w:val="008A4864"/>
    <w:rsid w:val="008A5B1F"/>
    <w:rsid w:val="008A6001"/>
    <w:rsid w:val="008B0A54"/>
    <w:rsid w:val="008B164B"/>
    <w:rsid w:val="008B5708"/>
    <w:rsid w:val="008B7548"/>
    <w:rsid w:val="008B799C"/>
    <w:rsid w:val="008C369D"/>
    <w:rsid w:val="008C7886"/>
    <w:rsid w:val="008C799B"/>
    <w:rsid w:val="008D31E7"/>
    <w:rsid w:val="008D533F"/>
    <w:rsid w:val="008D6027"/>
    <w:rsid w:val="008E396D"/>
    <w:rsid w:val="008E3AC7"/>
    <w:rsid w:val="008E59B8"/>
    <w:rsid w:val="008E6804"/>
    <w:rsid w:val="008E7E17"/>
    <w:rsid w:val="008F4EB2"/>
    <w:rsid w:val="00903195"/>
    <w:rsid w:val="00907263"/>
    <w:rsid w:val="00907A94"/>
    <w:rsid w:val="009121CA"/>
    <w:rsid w:val="0091288A"/>
    <w:rsid w:val="00914250"/>
    <w:rsid w:val="00920259"/>
    <w:rsid w:val="00922C7D"/>
    <w:rsid w:val="00923A0F"/>
    <w:rsid w:val="009310FE"/>
    <w:rsid w:val="00931B6C"/>
    <w:rsid w:val="00941344"/>
    <w:rsid w:val="00941518"/>
    <w:rsid w:val="009458C7"/>
    <w:rsid w:val="00946F45"/>
    <w:rsid w:val="00947ECB"/>
    <w:rsid w:val="00951882"/>
    <w:rsid w:val="00955048"/>
    <w:rsid w:val="009551AE"/>
    <w:rsid w:val="00956386"/>
    <w:rsid w:val="00963282"/>
    <w:rsid w:val="009659C9"/>
    <w:rsid w:val="009675BE"/>
    <w:rsid w:val="00967C11"/>
    <w:rsid w:val="00972C92"/>
    <w:rsid w:val="009745BD"/>
    <w:rsid w:val="009750DE"/>
    <w:rsid w:val="00994163"/>
    <w:rsid w:val="00995F04"/>
    <w:rsid w:val="00996706"/>
    <w:rsid w:val="00997E6D"/>
    <w:rsid w:val="009A0DC1"/>
    <w:rsid w:val="009A1BBF"/>
    <w:rsid w:val="009A49B3"/>
    <w:rsid w:val="009A5C95"/>
    <w:rsid w:val="009A7A19"/>
    <w:rsid w:val="009B2532"/>
    <w:rsid w:val="009B27D2"/>
    <w:rsid w:val="009B3630"/>
    <w:rsid w:val="009B6F24"/>
    <w:rsid w:val="009B7703"/>
    <w:rsid w:val="009C308B"/>
    <w:rsid w:val="009D43B9"/>
    <w:rsid w:val="009E06B0"/>
    <w:rsid w:val="009E11E2"/>
    <w:rsid w:val="009F0820"/>
    <w:rsid w:val="009F1EAA"/>
    <w:rsid w:val="009F6EE6"/>
    <w:rsid w:val="009F7662"/>
    <w:rsid w:val="00A14B06"/>
    <w:rsid w:val="00A14DDD"/>
    <w:rsid w:val="00A14DE2"/>
    <w:rsid w:val="00A17981"/>
    <w:rsid w:val="00A2170C"/>
    <w:rsid w:val="00A235B9"/>
    <w:rsid w:val="00A237D1"/>
    <w:rsid w:val="00A30E09"/>
    <w:rsid w:val="00A3433C"/>
    <w:rsid w:val="00A40CA8"/>
    <w:rsid w:val="00A40CBE"/>
    <w:rsid w:val="00A41BD3"/>
    <w:rsid w:val="00A4752B"/>
    <w:rsid w:val="00A50E6F"/>
    <w:rsid w:val="00A520A7"/>
    <w:rsid w:val="00A52397"/>
    <w:rsid w:val="00A566B3"/>
    <w:rsid w:val="00A62D46"/>
    <w:rsid w:val="00A63BE3"/>
    <w:rsid w:val="00A66CEA"/>
    <w:rsid w:val="00A67281"/>
    <w:rsid w:val="00A70DE6"/>
    <w:rsid w:val="00A71E64"/>
    <w:rsid w:val="00A72BF2"/>
    <w:rsid w:val="00A7646A"/>
    <w:rsid w:val="00A7706B"/>
    <w:rsid w:val="00A828E5"/>
    <w:rsid w:val="00A832DD"/>
    <w:rsid w:val="00A90BFC"/>
    <w:rsid w:val="00A92302"/>
    <w:rsid w:val="00A94A10"/>
    <w:rsid w:val="00A97FE2"/>
    <w:rsid w:val="00AA31F9"/>
    <w:rsid w:val="00AA6101"/>
    <w:rsid w:val="00AB2A14"/>
    <w:rsid w:val="00AB3753"/>
    <w:rsid w:val="00AB3CA1"/>
    <w:rsid w:val="00AB5415"/>
    <w:rsid w:val="00AC3CDA"/>
    <w:rsid w:val="00AC3F96"/>
    <w:rsid w:val="00AC5116"/>
    <w:rsid w:val="00AC556D"/>
    <w:rsid w:val="00AC5875"/>
    <w:rsid w:val="00AD1777"/>
    <w:rsid w:val="00AD2F30"/>
    <w:rsid w:val="00AD34EA"/>
    <w:rsid w:val="00AD56A1"/>
    <w:rsid w:val="00AD5D9A"/>
    <w:rsid w:val="00AD7C63"/>
    <w:rsid w:val="00AE2359"/>
    <w:rsid w:val="00AE30E5"/>
    <w:rsid w:val="00AE7B5A"/>
    <w:rsid w:val="00AF1066"/>
    <w:rsid w:val="00AF1D44"/>
    <w:rsid w:val="00AF4091"/>
    <w:rsid w:val="00AF76FF"/>
    <w:rsid w:val="00B0005A"/>
    <w:rsid w:val="00B02A13"/>
    <w:rsid w:val="00B06EAE"/>
    <w:rsid w:val="00B1181D"/>
    <w:rsid w:val="00B1226B"/>
    <w:rsid w:val="00B129BC"/>
    <w:rsid w:val="00B13A27"/>
    <w:rsid w:val="00B152B0"/>
    <w:rsid w:val="00B17A11"/>
    <w:rsid w:val="00B2480E"/>
    <w:rsid w:val="00B30167"/>
    <w:rsid w:val="00B306E1"/>
    <w:rsid w:val="00B3103D"/>
    <w:rsid w:val="00B310A7"/>
    <w:rsid w:val="00B346B7"/>
    <w:rsid w:val="00B35415"/>
    <w:rsid w:val="00B35C45"/>
    <w:rsid w:val="00B37588"/>
    <w:rsid w:val="00B50633"/>
    <w:rsid w:val="00B540DE"/>
    <w:rsid w:val="00B5591B"/>
    <w:rsid w:val="00B55DE1"/>
    <w:rsid w:val="00B607C6"/>
    <w:rsid w:val="00B61868"/>
    <w:rsid w:val="00B62141"/>
    <w:rsid w:val="00B622E0"/>
    <w:rsid w:val="00B66BD6"/>
    <w:rsid w:val="00B66EF2"/>
    <w:rsid w:val="00B754AD"/>
    <w:rsid w:val="00B7720E"/>
    <w:rsid w:val="00B86C34"/>
    <w:rsid w:val="00B86E79"/>
    <w:rsid w:val="00B90777"/>
    <w:rsid w:val="00B9167A"/>
    <w:rsid w:val="00B927CD"/>
    <w:rsid w:val="00B969EA"/>
    <w:rsid w:val="00BA0DBB"/>
    <w:rsid w:val="00BA4329"/>
    <w:rsid w:val="00BB0742"/>
    <w:rsid w:val="00BB1065"/>
    <w:rsid w:val="00BB2EFD"/>
    <w:rsid w:val="00BB5999"/>
    <w:rsid w:val="00BB5B0C"/>
    <w:rsid w:val="00BB6C25"/>
    <w:rsid w:val="00BC0046"/>
    <w:rsid w:val="00BC0194"/>
    <w:rsid w:val="00BC5110"/>
    <w:rsid w:val="00BC7ABE"/>
    <w:rsid w:val="00BD0ADE"/>
    <w:rsid w:val="00BD37D9"/>
    <w:rsid w:val="00BD3F91"/>
    <w:rsid w:val="00BD65DD"/>
    <w:rsid w:val="00BD76F0"/>
    <w:rsid w:val="00BE2DD8"/>
    <w:rsid w:val="00BE3B4E"/>
    <w:rsid w:val="00BE49BD"/>
    <w:rsid w:val="00BE5D7A"/>
    <w:rsid w:val="00BF4578"/>
    <w:rsid w:val="00BF6F4C"/>
    <w:rsid w:val="00BF77C7"/>
    <w:rsid w:val="00C02196"/>
    <w:rsid w:val="00C02EBB"/>
    <w:rsid w:val="00C040E5"/>
    <w:rsid w:val="00C06D3C"/>
    <w:rsid w:val="00C0755B"/>
    <w:rsid w:val="00C11A56"/>
    <w:rsid w:val="00C1721A"/>
    <w:rsid w:val="00C22163"/>
    <w:rsid w:val="00C23060"/>
    <w:rsid w:val="00C24BB4"/>
    <w:rsid w:val="00C26BE5"/>
    <w:rsid w:val="00C30B6A"/>
    <w:rsid w:val="00C368B9"/>
    <w:rsid w:val="00C42846"/>
    <w:rsid w:val="00C438C8"/>
    <w:rsid w:val="00C46648"/>
    <w:rsid w:val="00C51E80"/>
    <w:rsid w:val="00C54643"/>
    <w:rsid w:val="00C577FF"/>
    <w:rsid w:val="00C60CB7"/>
    <w:rsid w:val="00C6117B"/>
    <w:rsid w:val="00C61FD5"/>
    <w:rsid w:val="00C6234A"/>
    <w:rsid w:val="00C67071"/>
    <w:rsid w:val="00C71CD2"/>
    <w:rsid w:val="00C73595"/>
    <w:rsid w:val="00C73EC4"/>
    <w:rsid w:val="00C743C5"/>
    <w:rsid w:val="00C74F7B"/>
    <w:rsid w:val="00C80B10"/>
    <w:rsid w:val="00C80F32"/>
    <w:rsid w:val="00C83A2F"/>
    <w:rsid w:val="00C903FB"/>
    <w:rsid w:val="00C976E2"/>
    <w:rsid w:val="00CB0319"/>
    <w:rsid w:val="00CB3986"/>
    <w:rsid w:val="00CB46F4"/>
    <w:rsid w:val="00CB4FAA"/>
    <w:rsid w:val="00CB6EAE"/>
    <w:rsid w:val="00CC1C02"/>
    <w:rsid w:val="00CC4615"/>
    <w:rsid w:val="00CC6168"/>
    <w:rsid w:val="00CD4069"/>
    <w:rsid w:val="00CD5838"/>
    <w:rsid w:val="00CD65F5"/>
    <w:rsid w:val="00CE3C75"/>
    <w:rsid w:val="00CE4669"/>
    <w:rsid w:val="00CF2C8E"/>
    <w:rsid w:val="00CF393E"/>
    <w:rsid w:val="00CF40EC"/>
    <w:rsid w:val="00CF503B"/>
    <w:rsid w:val="00CF66F2"/>
    <w:rsid w:val="00D01E4B"/>
    <w:rsid w:val="00D02610"/>
    <w:rsid w:val="00D06FEE"/>
    <w:rsid w:val="00D1001E"/>
    <w:rsid w:val="00D10ADE"/>
    <w:rsid w:val="00D10E5C"/>
    <w:rsid w:val="00D11137"/>
    <w:rsid w:val="00D12048"/>
    <w:rsid w:val="00D120A0"/>
    <w:rsid w:val="00D12875"/>
    <w:rsid w:val="00D155E2"/>
    <w:rsid w:val="00D167A0"/>
    <w:rsid w:val="00D267B2"/>
    <w:rsid w:val="00D32C82"/>
    <w:rsid w:val="00D35616"/>
    <w:rsid w:val="00D37D47"/>
    <w:rsid w:val="00D37F3A"/>
    <w:rsid w:val="00D400EF"/>
    <w:rsid w:val="00D41D04"/>
    <w:rsid w:val="00D448F2"/>
    <w:rsid w:val="00D45100"/>
    <w:rsid w:val="00D4631C"/>
    <w:rsid w:val="00D50908"/>
    <w:rsid w:val="00D52989"/>
    <w:rsid w:val="00D57E9C"/>
    <w:rsid w:val="00D61A75"/>
    <w:rsid w:val="00D731BD"/>
    <w:rsid w:val="00D76C1D"/>
    <w:rsid w:val="00D76D6A"/>
    <w:rsid w:val="00D77181"/>
    <w:rsid w:val="00D77E15"/>
    <w:rsid w:val="00D77EA8"/>
    <w:rsid w:val="00D802B4"/>
    <w:rsid w:val="00D83A7E"/>
    <w:rsid w:val="00D85AF7"/>
    <w:rsid w:val="00D86065"/>
    <w:rsid w:val="00D86457"/>
    <w:rsid w:val="00D9118A"/>
    <w:rsid w:val="00D9511D"/>
    <w:rsid w:val="00D96D32"/>
    <w:rsid w:val="00DA50BB"/>
    <w:rsid w:val="00DB49E6"/>
    <w:rsid w:val="00DC182F"/>
    <w:rsid w:val="00DC216C"/>
    <w:rsid w:val="00DC2BE1"/>
    <w:rsid w:val="00DC7825"/>
    <w:rsid w:val="00DD2EB9"/>
    <w:rsid w:val="00DE3516"/>
    <w:rsid w:val="00DE4620"/>
    <w:rsid w:val="00DE6DDE"/>
    <w:rsid w:val="00DF6CA5"/>
    <w:rsid w:val="00E02957"/>
    <w:rsid w:val="00E02D84"/>
    <w:rsid w:val="00E0477E"/>
    <w:rsid w:val="00E07073"/>
    <w:rsid w:val="00E07B4A"/>
    <w:rsid w:val="00E07EA3"/>
    <w:rsid w:val="00E141A4"/>
    <w:rsid w:val="00E158AE"/>
    <w:rsid w:val="00E16793"/>
    <w:rsid w:val="00E16A9F"/>
    <w:rsid w:val="00E2107F"/>
    <w:rsid w:val="00E318F5"/>
    <w:rsid w:val="00E352B1"/>
    <w:rsid w:val="00E354F6"/>
    <w:rsid w:val="00E37E26"/>
    <w:rsid w:val="00E41DE3"/>
    <w:rsid w:val="00E45A89"/>
    <w:rsid w:val="00E46994"/>
    <w:rsid w:val="00E4779B"/>
    <w:rsid w:val="00E51C99"/>
    <w:rsid w:val="00E52368"/>
    <w:rsid w:val="00E549B9"/>
    <w:rsid w:val="00E54DDA"/>
    <w:rsid w:val="00E5569D"/>
    <w:rsid w:val="00E60B75"/>
    <w:rsid w:val="00E61240"/>
    <w:rsid w:val="00E6136B"/>
    <w:rsid w:val="00E63735"/>
    <w:rsid w:val="00E64B81"/>
    <w:rsid w:val="00E66539"/>
    <w:rsid w:val="00E67472"/>
    <w:rsid w:val="00E675AC"/>
    <w:rsid w:val="00E74361"/>
    <w:rsid w:val="00E7657B"/>
    <w:rsid w:val="00E77EAE"/>
    <w:rsid w:val="00E86C72"/>
    <w:rsid w:val="00E9005A"/>
    <w:rsid w:val="00EA2CA8"/>
    <w:rsid w:val="00EA6B6E"/>
    <w:rsid w:val="00EB3A2D"/>
    <w:rsid w:val="00EB4B5D"/>
    <w:rsid w:val="00EB7774"/>
    <w:rsid w:val="00EC560F"/>
    <w:rsid w:val="00EC748F"/>
    <w:rsid w:val="00ED23C4"/>
    <w:rsid w:val="00EE2E19"/>
    <w:rsid w:val="00EF237C"/>
    <w:rsid w:val="00EF320F"/>
    <w:rsid w:val="00EF6705"/>
    <w:rsid w:val="00F01309"/>
    <w:rsid w:val="00F047CA"/>
    <w:rsid w:val="00F15D49"/>
    <w:rsid w:val="00F15D70"/>
    <w:rsid w:val="00F170A2"/>
    <w:rsid w:val="00F17634"/>
    <w:rsid w:val="00F21178"/>
    <w:rsid w:val="00F2376E"/>
    <w:rsid w:val="00F253A6"/>
    <w:rsid w:val="00F276F2"/>
    <w:rsid w:val="00F336BC"/>
    <w:rsid w:val="00F4003A"/>
    <w:rsid w:val="00F4089C"/>
    <w:rsid w:val="00F55538"/>
    <w:rsid w:val="00F56A03"/>
    <w:rsid w:val="00F6237E"/>
    <w:rsid w:val="00F62647"/>
    <w:rsid w:val="00F63720"/>
    <w:rsid w:val="00F64808"/>
    <w:rsid w:val="00F66515"/>
    <w:rsid w:val="00F71CF6"/>
    <w:rsid w:val="00F7318E"/>
    <w:rsid w:val="00F74E35"/>
    <w:rsid w:val="00F77A83"/>
    <w:rsid w:val="00F81B35"/>
    <w:rsid w:val="00F900B2"/>
    <w:rsid w:val="00F910FE"/>
    <w:rsid w:val="00FA1BB5"/>
    <w:rsid w:val="00FA3DC8"/>
    <w:rsid w:val="00FA68AB"/>
    <w:rsid w:val="00FB0F18"/>
    <w:rsid w:val="00FB53A0"/>
    <w:rsid w:val="00FB5A58"/>
    <w:rsid w:val="00FC5E13"/>
    <w:rsid w:val="00FE47E9"/>
    <w:rsid w:val="00FE6210"/>
    <w:rsid w:val="00FE6785"/>
    <w:rsid w:val="00FE75A9"/>
    <w:rsid w:val="00FF1257"/>
    <w:rsid w:val="00FF4A49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line="288" w:lineRule="auto"/>
        <w:ind w:firstLine="43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E2"/>
    <w:rPr>
      <w:rFonts w:ascii=".VnTime" w:hAnsi=".VnTime"/>
      <w:sz w:val="2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E59B8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9B8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A14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BB"/>
    <w:rPr>
      <w:rFonts w:ascii=".VnTime" w:hAnsi=".VnTime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A14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7B"/>
    <w:rPr>
      <w:rFonts w:ascii=".VnTime" w:hAnsi=".VnTime"/>
      <w:sz w:val="28"/>
      <w:lang w:eastAsia="en-US"/>
    </w:rPr>
  </w:style>
  <w:style w:type="character" w:styleId="PageNumber">
    <w:name w:val="page number"/>
    <w:basedOn w:val="DefaultParagraphFont"/>
    <w:rsid w:val="00A14DE2"/>
  </w:style>
  <w:style w:type="paragraph" w:styleId="DocumentMap">
    <w:name w:val="Document Map"/>
    <w:basedOn w:val="Normal"/>
    <w:semiHidden/>
    <w:rsid w:val="00A14DE2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8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7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12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7A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1D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1D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6237E"/>
    <w:rPr>
      <w:b/>
      <w:bCs/>
    </w:rPr>
  </w:style>
  <w:style w:type="character" w:customStyle="1" w:styleId="apple-converted-space">
    <w:name w:val="apple-converted-space"/>
    <w:basedOn w:val="DefaultParagraphFont"/>
    <w:rsid w:val="002F7F6E"/>
  </w:style>
  <w:style w:type="paragraph" w:styleId="NormalWeb">
    <w:name w:val="Normal (Web)"/>
    <w:basedOn w:val="Normal"/>
    <w:uiPriority w:val="99"/>
    <w:unhideWhenUsed/>
    <w:rsid w:val="00AC3F9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7E4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annb.VPTCTY\My%20Documents\DOAN%20document\ISO%20phong%20Hang%20hai\Quy%20trinh\5.%20QT%20trinh%20bay-tham%20khao_4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QT trinh bay-tham khao_4-09.dot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Quản lý Nhiên liệu tàu</vt:lpstr>
    </vt:vector>
  </TitlesOfParts>
  <Company>Tổng Công ty Vận tải thủy PETROLIMEX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Quản lý Nhiên liệu tàu biển</dc:title>
  <dc:subject>2014</dc:subject>
  <dc:creator>Tổng Công ty Vận tải thủy PETROLIMEX</dc:creator>
  <cp:lastModifiedBy>haont.pgt</cp:lastModifiedBy>
  <cp:revision>5</cp:revision>
  <cp:lastPrinted>2013-11-05T07:55:00Z</cp:lastPrinted>
  <dcterms:created xsi:type="dcterms:W3CDTF">2015-09-24T02:12:00Z</dcterms:created>
  <dcterms:modified xsi:type="dcterms:W3CDTF">2015-09-24T02:13:00Z</dcterms:modified>
</cp:coreProperties>
</file>