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AB" w:rsidRPr="00FB74C6" w:rsidRDefault="006614AB" w:rsidP="006614AB">
      <w:pPr>
        <w:spacing w:after="0"/>
        <w:jc w:val="right"/>
        <w:rPr>
          <w:szCs w:val="26"/>
        </w:rPr>
      </w:pPr>
    </w:p>
    <w:tbl>
      <w:tblPr>
        <w:tblW w:w="10260" w:type="dxa"/>
        <w:jc w:val="center"/>
        <w:tblInd w:w="278" w:type="dxa"/>
        <w:tblLook w:val="04A0"/>
      </w:tblPr>
      <w:tblGrid>
        <w:gridCol w:w="4706"/>
        <w:gridCol w:w="5554"/>
      </w:tblGrid>
      <w:tr w:rsidR="00242EE9" w:rsidRPr="00FB74C6" w:rsidTr="00500A8D">
        <w:trPr>
          <w:jc w:val="center"/>
        </w:trPr>
        <w:tc>
          <w:tcPr>
            <w:tcW w:w="4706" w:type="dxa"/>
            <w:hideMark/>
          </w:tcPr>
          <w:p w:rsidR="00242EE9" w:rsidRPr="007F49C5" w:rsidRDefault="00242EE9" w:rsidP="00D41D54">
            <w:pPr>
              <w:jc w:val="center"/>
              <w:rPr>
                <w:spacing w:val="-20"/>
                <w:sz w:val="24"/>
                <w:szCs w:val="24"/>
              </w:rPr>
            </w:pPr>
            <w:r w:rsidRPr="007F49C5">
              <w:rPr>
                <w:b/>
                <w:sz w:val="24"/>
                <w:szCs w:val="24"/>
              </w:rPr>
              <w:t>TẬP ĐOÀN XĂNG DẦU VIỆT NAM</w:t>
            </w:r>
          </w:p>
        </w:tc>
        <w:tc>
          <w:tcPr>
            <w:tcW w:w="5554" w:type="dxa"/>
            <w:hideMark/>
          </w:tcPr>
          <w:p w:rsidR="00242EE9" w:rsidRPr="007F49C5" w:rsidRDefault="00242EE9" w:rsidP="00D41D54">
            <w:pPr>
              <w:spacing w:after="0"/>
              <w:jc w:val="center"/>
              <w:rPr>
                <w:b/>
                <w:sz w:val="24"/>
                <w:szCs w:val="24"/>
              </w:rPr>
            </w:pPr>
            <w:r w:rsidRPr="007F49C5">
              <w:rPr>
                <w:b/>
                <w:sz w:val="24"/>
                <w:szCs w:val="24"/>
              </w:rPr>
              <w:t>CỘNG HOÀ XÃ HỘI CHỦ NGHĨA VIỆT NAM</w:t>
            </w:r>
          </w:p>
          <w:p w:rsidR="00242EE9" w:rsidRPr="00FB74C6" w:rsidRDefault="00242EE9" w:rsidP="00D41D54">
            <w:pPr>
              <w:spacing w:after="0"/>
              <w:jc w:val="center"/>
              <w:rPr>
                <w:b/>
                <w:spacing w:val="-20"/>
                <w:szCs w:val="26"/>
              </w:rPr>
            </w:pPr>
            <w:r w:rsidRPr="00FB74C6">
              <w:rPr>
                <w:b/>
                <w:szCs w:val="26"/>
              </w:rPr>
              <w:t xml:space="preserve">Độc lập </w:t>
            </w:r>
            <w:r w:rsidR="00D41D54" w:rsidRPr="00FB74C6">
              <w:rPr>
                <w:b/>
                <w:szCs w:val="26"/>
              </w:rPr>
              <w:t xml:space="preserve">- </w:t>
            </w:r>
            <w:r w:rsidRPr="00FB74C6">
              <w:rPr>
                <w:b/>
                <w:szCs w:val="26"/>
              </w:rPr>
              <w:t xml:space="preserve"> Tự do </w:t>
            </w:r>
            <w:r w:rsidR="00D41D54" w:rsidRPr="00FB74C6">
              <w:rPr>
                <w:b/>
                <w:szCs w:val="26"/>
              </w:rPr>
              <w:t>-</w:t>
            </w:r>
            <w:r w:rsidRPr="00FB74C6">
              <w:rPr>
                <w:b/>
                <w:szCs w:val="26"/>
              </w:rPr>
              <w:t xml:space="preserve"> Hạnh phúc</w:t>
            </w:r>
          </w:p>
        </w:tc>
      </w:tr>
      <w:tr w:rsidR="00242EE9" w:rsidRPr="00FB74C6" w:rsidTr="00F4241A">
        <w:trPr>
          <w:trHeight w:val="614"/>
          <w:jc w:val="center"/>
        </w:trPr>
        <w:tc>
          <w:tcPr>
            <w:tcW w:w="4706" w:type="dxa"/>
            <w:vAlign w:val="bottom"/>
            <w:hideMark/>
          </w:tcPr>
          <w:p w:rsidR="00242EE9" w:rsidRPr="00FB74C6" w:rsidRDefault="00242EE9" w:rsidP="00023654">
            <w:pPr>
              <w:spacing w:before="240"/>
              <w:jc w:val="center"/>
              <w:rPr>
                <w:szCs w:val="26"/>
              </w:rPr>
            </w:pPr>
            <w:r w:rsidRPr="00FB74C6">
              <w:rPr>
                <w:szCs w:val="26"/>
              </w:rPr>
              <w:t>Số:              /</w:t>
            </w:r>
            <w:r w:rsidR="00C30CF0" w:rsidRPr="00FB74C6">
              <w:rPr>
                <w:szCs w:val="26"/>
              </w:rPr>
              <w:t>PLX</w:t>
            </w:r>
            <w:r w:rsidR="00023654" w:rsidRPr="00FB74C6">
              <w:rPr>
                <w:szCs w:val="26"/>
              </w:rPr>
              <w:t>-</w:t>
            </w:r>
            <w:r w:rsidRPr="00FB74C6">
              <w:rPr>
                <w:szCs w:val="26"/>
              </w:rPr>
              <w:t xml:space="preserve"> BKS</w:t>
            </w:r>
          </w:p>
        </w:tc>
        <w:tc>
          <w:tcPr>
            <w:tcW w:w="5554" w:type="dxa"/>
            <w:vAlign w:val="bottom"/>
            <w:hideMark/>
          </w:tcPr>
          <w:p w:rsidR="00242EE9" w:rsidRPr="00FB74C6" w:rsidRDefault="00242EE9" w:rsidP="00257C74">
            <w:pPr>
              <w:spacing w:before="240"/>
              <w:jc w:val="right"/>
              <w:rPr>
                <w:b/>
                <w:noProof/>
                <w:spacing w:val="-20"/>
                <w:szCs w:val="26"/>
              </w:rPr>
            </w:pPr>
            <w:r w:rsidRPr="00FB74C6">
              <w:rPr>
                <w:i/>
                <w:iCs/>
                <w:szCs w:val="26"/>
              </w:rPr>
              <w:t>Hà Nộ</w:t>
            </w:r>
            <w:r w:rsidR="001515F1" w:rsidRPr="00FB74C6">
              <w:rPr>
                <w:i/>
                <w:iCs/>
                <w:szCs w:val="26"/>
              </w:rPr>
              <w:t xml:space="preserve">i, ngày </w:t>
            </w:r>
            <w:r w:rsidR="00257C74">
              <w:rPr>
                <w:i/>
                <w:iCs/>
                <w:szCs w:val="26"/>
              </w:rPr>
              <w:t xml:space="preserve">27 </w:t>
            </w:r>
            <w:r w:rsidR="005B5A96" w:rsidRPr="00FB74C6">
              <w:rPr>
                <w:i/>
                <w:iCs/>
                <w:szCs w:val="26"/>
              </w:rPr>
              <w:t xml:space="preserve">tháng </w:t>
            </w:r>
            <w:r w:rsidR="00AD2795" w:rsidRPr="001D4747">
              <w:rPr>
                <w:i/>
                <w:iCs/>
                <w:szCs w:val="26"/>
              </w:rPr>
              <w:t>4</w:t>
            </w:r>
            <w:r w:rsidR="00257C74">
              <w:rPr>
                <w:i/>
                <w:iCs/>
                <w:szCs w:val="26"/>
              </w:rPr>
              <w:t xml:space="preserve"> </w:t>
            </w:r>
            <w:r w:rsidR="005B5A96" w:rsidRPr="00FB74C6">
              <w:rPr>
                <w:i/>
                <w:iCs/>
                <w:szCs w:val="26"/>
              </w:rPr>
              <w:t>năm 2018</w:t>
            </w:r>
          </w:p>
        </w:tc>
      </w:tr>
      <w:tr w:rsidR="00242EE9" w:rsidRPr="00FB74C6" w:rsidTr="00500A8D">
        <w:trPr>
          <w:trHeight w:val="1351"/>
          <w:jc w:val="center"/>
        </w:trPr>
        <w:tc>
          <w:tcPr>
            <w:tcW w:w="4706" w:type="dxa"/>
            <w:hideMark/>
          </w:tcPr>
          <w:p w:rsidR="00242EE9" w:rsidRPr="00FB74C6" w:rsidRDefault="00242EE9" w:rsidP="00FD1D5D">
            <w:pPr>
              <w:jc w:val="center"/>
              <w:rPr>
                <w:szCs w:val="26"/>
              </w:rPr>
            </w:pPr>
            <w:r w:rsidRPr="00FB74C6">
              <w:rPr>
                <w:noProof/>
                <w:szCs w:val="26"/>
              </w:rPr>
              <w:drawing>
                <wp:anchor distT="0" distB="0" distL="114300" distR="114300" simplePos="0" relativeHeight="251659264" behindDoc="0" locked="0" layoutInCell="1" allowOverlap="1">
                  <wp:simplePos x="0" y="0"/>
                  <wp:positionH relativeFrom="column">
                    <wp:posOffset>1330325</wp:posOffset>
                  </wp:positionH>
                  <wp:positionV relativeFrom="paragraph">
                    <wp:posOffset>57150</wp:posOffset>
                  </wp:positionV>
                  <wp:extent cx="875665" cy="770255"/>
                  <wp:effectExtent l="1905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665" cy="770255"/>
                          </a:xfrm>
                          <a:prstGeom prst="rect">
                            <a:avLst/>
                          </a:prstGeom>
                          <a:noFill/>
                        </pic:spPr>
                      </pic:pic>
                    </a:graphicData>
                  </a:graphic>
                </wp:anchor>
              </w:drawing>
            </w:r>
          </w:p>
          <w:p w:rsidR="00242EE9" w:rsidRPr="00FB74C6" w:rsidRDefault="00242EE9" w:rsidP="00FD1D5D">
            <w:pPr>
              <w:tabs>
                <w:tab w:val="left" w:pos="1455"/>
              </w:tabs>
              <w:rPr>
                <w:szCs w:val="26"/>
              </w:rPr>
            </w:pPr>
          </w:p>
        </w:tc>
        <w:tc>
          <w:tcPr>
            <w:tcW w:w="5554" w:type="dxa"/>
            <w:hideMark/>
          </w:tcPr>
          <w:p w:rsidR="00AC27FC" w:rsidRPr="00FB74C6" w:rsidRDefault="00AC27FC" w:rsidP="00FD1D5D">
            <w:pPr>
              <w:jc w:val="center"/>
              <w:rPr>
                <w:i/>
                <w:iCs/>
                <w:szCs w:val="26"/>
              </w:rPr>
            </w:pPr>
          </w:p>
          <w:p w:rsidR="00242EE9" w:rsidRPr="00B77176" w:rsidRDefault="00B77176" w:rsidP="00AC27FC">
            <w:pPr>
              <w:jc w:val="center"/>
              <w:rPr>
                <w:b/>
                <w:i/>
                <w:szCs w:val="26"/>
              </w:rPr>
            </w:pPr>
            <w:r>
              <w:rPr>
                <w:b/>
                <w:i/>
                <w:szCs w:val="26"/>
              </w:rPr>
              <w:t xml:space="preserve">                     </w:t>
            </w:r>
            <w:r w:rsidR="00AC27FC" w:rsidRPr="00B77176">
              <w:rPr>
                <w:b/>
                <w:i/>
                <w:szCs w:val="26"/>
              </w:rPr>
              <w:t>“DỰ THẢO”</w:t>
            </w:r>
          </w:p>
        </w:tc>
      </w:tr>
    </w:tbl>
    <w:p w:rsidR="00D70E6B" w:rsidRDefault="00D70E6B" w:rsidP="00390325">
      <w:pPr>
        <w:pStyle w:val="Heading5"/>
        <w:rPr>
          <w:color w:val="auto"/>
          <w:szCs w:val="32"/>
        </w:rPr>
      </w:pPr>
    </w:p>
    <w:p w:rsidR="00023654" w:rsidRPr="00FB74C6" w:rsidRDefault="00C30CF0" w:rsidP="00390325">
      <w:pPr>
        <w:pStyle w:val="Heading5"/>
        <w:rPr>
          <w:color w:val="auto"/>
          <w:szCs w:val="32"/>
        </w:rPr>
      </w:pPr>
      <w:r w:rsidRPr="00FB74C6">
        <w:rPr>
          <w:color w:val="auto"/>
          <w:szCs w:val="32"/>
        </w:rPr>
        <w:t xml:space="preserve">BÁO CÁO </w:t>
      </w:r>
      <w:r w:rsidR="00023654" w:rsidRPr="00FB74C6">
        <w:rPr>
          <w:color w:val="auto"/>
          <w:szCs w:val="32"/>
        </w:rPr>
        <w:t xml:space="preserve">CỦA </w:t>
      </w:r>
      <w:r w:rsidR="00103AE9" w:rsidRPr="00FB74C6">
        <w:rPr>
          <w:color w:val="auto"/>
          <w:szCs w:val="32"/>
        </w:rPr>
        <w:t xml:space="preserve">BAN </w:t>
      </w:r>
      <w:r w:rsidRPr="00FB74C6">
        <w:rPr>
          <w:color w:val="auto"/>
          <w:szCs w:val="32"/>
        </w:rPr>
        <w:t>KIỂM SOÁT</w:t>
      </w:r>
    </w:p>
    <w:p w:rsidR="004D654A" w:rsidRPr="00FB74C6" w:rsidRDefault="00023654" w:rsidP="00390325">
      <w:pPr>
        <w:pStyle w:val="Heading5"/>
        <w:rPr>
          <w:color w:val="auto"/>
          <w:sz w:val="26"/>
          <w:szCs w:val="26"/>
        </w:rPr>
      </w:pPr>
      <w:r w:rsidRPr="00FB74C6">
        <w:rPr>
          <w:color w:val="auto"/>
          <w:sz w:val="26"/>
          <w:szCs w:val="26"/>
        </w:rPr>
        <w:t xml:space="preserve">TẠI ĐẠI HỘI ĐỒNG CỔ ĐÔNG THƯỜNG NIÊN </w:t>
      </w:r>
      <w:r w:rsidR="00D32A56" w:rsidRPr="00FB74C6">
        <w:rPr>
          <w:color w:val="auto"/>
          <w:sz w:val="26"/>
          <w:szCs w:val="26"/>
        </w:rPr>
        <w:t>NĂ</w:t>
      </w:r>
      <w:r w:rsidR="001515F1" w:rsidRPr="00FB74C6">
        <w:rPr>
          <w:color w:val="auto"/>
          <w:sz w:val="26"/>
          <w:szCs w:val="26"/>
        </w:rPr>
        <w:t>M 201</w:t>
      </w:r>
      <w:r w:rsidR="00AC27FC" w:rsidRPr="00FB74C6">
        <w:rPr>
          <w:color w:val="auto"/>
          <w:sz w:val="26"/>
          <w:szCs w:val="26"/>
        </w:rPr>
        <w:t>8</w:t>
      </w:r>
    </w:p>
    <w:p w:rsidR="00512976" w:rsidRPr="00F411EC" w:rsidRDefault="00512976" w:rsidP="00512976">
      <w:pPr>
        <w:rPr>
          <w:sz w:val="12"/>
          <w:szCs w:val="26"/>
        </w:rPr>
      </w:pPr>
    </w:p>
    <w:p w:rsidR="00D62D18" w:rsidRPr="00FB74C6" w:rsidRDefault="00D62D18" w:rsidP="00D62D18">
      <w:pPr>
        <w:spacing w:line="340" w:lineRule="exact"/>
        <w:jc w:val="center"/>
        <w:rPr>
          <w:b/>
          <w:szCs w:val="26"/>
        </w:rPr>
      </w:pPr>
      <w:r w:rsidRPr="00FB74C6">
        <w:rPr>
          <w:i/>
          <w:szCs w:val="26"/>
        </w:rPr>
        <w:t>Kính thưa</w:t>
      </w:r>
      <w:r w:rsidR="00023654" w:rsidRPr="00FB74C6">
        <w:rPr>
          <w:i/>
          <w:szCs w:val="26"/>
        </w:rPr>
        <w:t>:</w:t>
      </w:r>
      <w:r w:rsidR="00023654" w:rsidRPr="00FB74C6">
        <w:rPr>
          <w:b/>
          <w:szCs w:val="26"/>
        </w:rPr>
        <w:t>C</w:t>
      </w:r>
      <w:r w:rsidRPr="00FB74C6">
        <w:rPr>
          <w:b/>
          <w:szCs w:val="26"/>
        </w:rPr>
        <w:t>ác Quý Cổ đông</w:t>
      </w:r>
      <w:r w:rsidR="00023654" w:rsidRPr="00FB74C6">
        <w:rPr>
          <w:b/>
          <w:szCs w:val="26"/>
        </w:rPr>
        <w:t>/Đại diện Cổ đông</w:t>
      </w:r>
      <w:r w:rsidRPr="00FB74C6">
        <w:rPr>
          <w:b/>
          <w:szCs w:val="26"/>
        </w:rPr>
        <w:t>, Quý vị đại biểu!</w:t>
      </w:r>
    </w:p>
    <w:p w:rsidR="00491101" w:rsidRPr="00FB74C6" w:rsidRDefault="00DB7BED" w:rsidP="002B3FF9">
      <w:pPr>
        <w:spacing w:after="0"/>
        <w:ind w:firstLine="720"/>
        <w:jc w:val="both"/>
        <w:rPr>
          <w:szCs w:val="26"/>
        </w:rPr>
      </w:pPr>
      <w:r w:rsidRPr="00FB74C6">
        <w:rPr>
          <w:szCs w:val="26"/>
        </w:rPr>
        <w:t xml:space="preserve">Thực hiện </w:t>
      </w:r>
      <w:r w:rsidR="00911EA6" w:rsidRPr="00FB74C6">
        <w:rPr>
          <w:szCs w:val="26"/>
        </w:rPr>
        <w:t>quyền hạn</w:t>
      </w:r>
      <w:r w:rsidR="00023654" w:rsidRPr="00FB74C6">
        <w:rPr>
          <w:szCs w:val="26"/>
        </w:rPr>
        <w:t>,</w:t>
      </w:r>
      <w:r w:rsidRPr="00FB74C6">
        <w:rPr>
          <w:szCs w:val="26"/>
        </w:rPr>
        <w:t xml:space="preserve"> n</w:t>
      </w:r>
      <w:r w:rsidR="00911EA6" w:rsidRPr="00FB74C6">
        <w:rPr>
          <w:szCs w:val="26"/>
        </w:rPr>
        <w:t xml:space="preserve">ghĩa </w:t>
      </w:r>
      <w:r w:rsidRPr="00FB74C6">
        <w:rPr>
          <w:szCs w:val="26"/>
        </w:rPr>
        <w:t xml:space="preserve">vụ </w:t>
      </w:r>
      <w:r w:rsidR="00023654" w:rsidRPr="00FB74C6">
        <w:rPr>
          <w:szCs w:val="26"/>
        </w:rPr>
        <w:t xml:space="preserve">của Ban </w:t>
      </w:r>
      <w:r w:rsidRPr="00FB74C6">
        <w:rPr>
          <w:szCs w:val="26"/>
        </w:rPr>
        <w:t xml:space="preserve">kiểm </w:t>
      </w:r>
      <w:r w:rsidR="00023654" w:rsidRPr="00FB74C6">
        <w:rPr>
          <w:szCs w:val="26"/>
        </w:rPr>
        <w:t>soát theo</w:t>
      </w:r>
      <w:r w:rsidRPr="00FB74C6">
        <w:rPr>
          <w:szCs w:val="26"/>
        </w:rPr>
        <w:t xml:space="preserve"> quy định tại Luật </w:t>
      </w:r>
      <w:r w:rsidR="00B24F18" w:rsidRPr="00FB74C6">
        <w:rPr>
          <w:szCs w:val="26"/>
        </w:rPr>
        <w:t>D</w:t>
      </w:r>
      <w:r w:rsidRPr="00FB74C6">
        <w:rPr>
          <w:szCs w:val="26"/>
        </w:rPr>
        <w:t>oanh nghiệ</w:t>
      </w:r>
      <w:r w:rsidR="00EE28FE" w:rsidRPr="00FB74C6">
        <w:rPr>
          <w:szCs w:val="26"/>
        </w:rPr>
        <w:t>p</w:t>
      </w:r>
      <w:r w:rsidR="0003317C" w:rsidRPr="00FB74C6">
        <w:rPr>
          <w:szCs w:val="26"/>
        </w:rPr>
        <w:t>,</w:t>
      </w:r>
      <w:r w:rsidRPr="00FB74C6">
        <w:rPr>
          <w:szCs w:val="26"/>
        </w:rPr>
        <w:t xml:space="preserve"> Điều lệ </w:t>
      </w:r>
      <w:r w:rsidR="00C30CF0" w:rsidRPr="00FB74C6">
        <w:rPr>
          <w:szCs w:val="26"/>
        </w:rPr>
        <w:t>Tập đoàn</w:t>
      </w:r>
      <w:r w:rsidR="00871875" w:rsidRPr="00FB74C6">
        <w:rPr>
          <w:szCs w:val="26"/>
        </w:rPr>
        <w:t>,</w:t>
      </w:r>
      <w:r w:rsidR="000B1150">
        <w:rPr>
          <w:szCs w:val="26"/>
        </w:rPr>
        <w:t xml:space="preserve"> </w:t>
      </w:r>
      <w:r w:rsidR="00C04105" w:rsidRPr="00FB74C6">
        <w:rPr>
          <w:szCs w:val="26"/>
        </w:rPr>
        <w:t xml:space="preserve">Quy chế tổ chức </w:t>
      </w:r>
      <w:r w:rsidR="00023654" w:rsidRPr="00FB74C6">
        <w:rPr>
          <w:szCs w:val="26"/>
        </w:rPr>
        <w:t>&amp;</w:t>
      </w:r>
      <w:r w:rsidR="00C04105" w:rsidRPr="00FB74C6">
        <w:rPr>
          <w:szCs w:val="26"/>
        </w:rPr>
        <w:t xml:space="preserve"> hoạt động của Ban kiểm soát</w:t>
      </w:r>
      <w:r w:rsidR="00023654" w:rsidRPr="00FB74C6">
        <w:rPr>
          <w:szCs w:val="26"/>
        </w:rPr>
        <w:t xml:space="preserve"> và các quy định hiện hành;</w:t>
      </w:r>
      <w:r w:rsidR="000B1150">
        <w:rPr>
          <w:szCs w:val="26"/>
        </w:rPr>
        <w:t xml:space="preserve"> </w:t>
      </w:r>
      <w:r w:rsidRPr="00FB74C6">
        <w:rPr>
          <w:szCs w:val="26"/>
        </w:rPr>
        <w:t xml:space="preserve">Ban kiểm soát </w:t>
      </w:r>
      <w:r w:rsidR="00023654" w:rsidRPr="00FB74C6">
        <w:rPr>
          <w:szCs w:val="26"/>
        </w:rPr>
        <w:t xml:space="preserve">Tập đoàn kính trình </w:t>
      </w:r>
      <w:r w:rsidRPr="00FB74C6">
        <w:rPr>
          <w:szCs w:val="26"/>
        </w:rPr>
        <w:t xml:space="preserve">Đại hội </w:t>
      </w:r>
      <w:r w:rsidR="00C04105" w:rsidRPr="00FB74C6">
        <w:rPr>
          <w:szCs w:val="26"/>
        </w:rPr>
        <w:t xml:space="preserve">đồng </w:t>
      </w:r>
      <w:r w:rsidRPr="00FB74C6">
        <w:rPr>
          <w:szCs w:val="26"/>
        </w:rPr>
        <w:t xml:space="preserve">cổ đông </w:t>
      </w:r>
      <w:r w:rsidR="0003317C" w:rsidRPr="00FB74C6">
        <w:rPr>
          <w:szCs w:val="26"/>
        </w:rPr>
        <w:t xml:space="preserve">(ĐHĐCĐ) </w:t>
      </w:r>
      <w:r w:rsidR="00023654" w:rsidRPr="00FB74C6">
        <w:rPr>
          <w:szCs w:val="26"/>
        </w:rPr>
        <w:t xml:space="preserve">Báo cáo của Ban kiểm soátvới nội dung </w:t>
      </w:r>
      <w:r w:rsidRPr="00FB74C6">
        <w:rPr>
          <w:szCs w:val="26"/>
        </w:rPr>
        <w:t>như sau:</w:t>
      </w:r>
    </w:p>
    <w:p w:rsidR="0036126D" w:rsidRPr="00FB74C6" w:rsidRDefault="0036126D" w:rsidP="002B3FF9">
      <w:pPr>
        <w:spacing w:after="0"/>
        <w:ind w:firstLine="720"/>
        <w:jc w:val="both"/>
        <w:rPr>
          <w:szCs w:val="26"/>
        </w:rPr>
      </w:pPr>
    </w:p>
    <w:p w:rsidR="00FB11A0" w:rsidRDefault="00DD0EA4" w:rsidP="00C9725C">
      <w:pPr>
        <w:spacing w:before="120" w:after="0"/>
        <w:ind w:firstLine="720"/>
        <w:jc w:val="center"/>
        <w:rPr>
          <w:b/>
          <w:szCs w:val="26"/>
        </w:rPr>
      </w:pPr>
      <w:r w:rsidRPr="00AF3E5E">
        <w:rPr>
          <w:b/>
          <w:szCs w:val="26"/>
          <w:u w:val="single"/>
        </w:rPr>
        <w:t xml:space="preserve">PHẦN </w:t>
      </w:r>
      <w:r w:rsidR="004C7CA9" w:rsidRPr="00AF3E5E">
        <w:rPr>
          <w:b/>
          <w:szCs w:val="26"/>
          <w:u w:val="single"/>
        </w:rPr>
        <w:t>I</w:t>
      </w:r>
      <w:r w:rsidRPr="00AF3E5E">
        <w:rPr>
          <w:b/>
          <w:szCs w:val="26"/>
        </w:rPr>
        <w:t>:</w:t>
      </w:r>
      <w:r w:rsidR="00AF3E5E" w:rsidRPr="00AF3E5E">
        <w:rPr>
          <w:b/>
          <w:szCs w:val="26"/>
        </w:rPr>
        <w:t xml:space="preserve"> </w:t>
      </w:r>
      <w:r w:rsidR="00620468" w:rsidRPr="00FB74C6">
        <w:rPr>
          <w:b/>
          <w:szCs w:val="26"/>
        </w:rPr>
        <w:t>H</w:t>
      </w:r>
      <w:r w:rsidR="00C9725C" w:rsidRPr="00FB74C6">
        <w:rPr>
          <w:b/>
          <w:szCs w:val="26"/>
        </w:rPr>
        <w:t>OẠT ĐỘNG CỦA BAN KIỂ</w:t>
      </w:r>
      <w:r w:rsidR="005B5A96" w:rsidRPr="00FB74C6">
        <w:rPr>
          <w:b/>
          <w:szCs w:val="26"/>
        </w:rPr>
        <w:t>M SOÁT NĂM 2017</w:t>
      </w:r>
    </w:p>
    <w:p w:rsidR="004C2573" w:rsidRDefault="004C2573" w:rsidP="004C2573">
      <w:pPr>
        <w:spacing w:before="120" w:after="0"/>
        <w:ind w:firstLine="720"/>
        <w:jc w:val="both"/>
        <w:rPr>
          <w:b/>
          <w:szCs w:val="26"/>
          <w:lang w:val="nl-NL"/>
        </w:rPr>
      </w:pPr>
    </w:p>
    <w:p w:rsidR="00723EAC" w:rsidRPr="00FB74C6" w:rsidRDefault="00D22339" w:rsidP="00911EA6">
      <w:pPr>
        <w:spacing w:after="0"/>
        <w:ind w:firstLine="720"/>
        <w:jc w:val="both"/>
        <w:rPr>
          <w:spacing w:val="-4"/>
          <w:szCs w:val="26"/>
        </w:rPr>
      </w:pPr>
      <w:r w:rsidRPr="00FB74C6">
        <w:rPr>
          <w:spacing w:val="-4"/>
          <w:szCs w:val="26"/>
        </w:rPr>
        <w:t>H</w:t>
      </w:r>
      <w:r w:rsidR="00723EAC" w:rsidRPr="00FB74C6">
        <w:rPr>
          <w:spacing w:val="-4"/>
          <w:szCs w:val="26"/>
        </w:rPr>
        <w:t xml:space="preserve">oạt động của Ban kiểm soát </w:t>
      </w:r>
      <w:r w:rsidRPr="00FB74C6">
        <w:rPr>
          <w:spacing w:val="-4"/>
          <w:szCs w:val="26"/>
        </w:rPr>
        <w:t xml:space="preserve">từ ngày 01/01/2017 </w:t>
      </w:r>
      <w:r w:rsidR="00723EAC" w:rsidRPr="00FB74C6">
        <w:rPr>
          <w:spacing w:val="-4"/>
          <w:szCs w:val="26"/>
        </w:rPr>
        <w:t>có 05 Kiểm soát viên; Từ ngày 01/11/2017 có 04 Kiểm soát viên (01 Kiểm soát viên nghỉ hưởng chế độ hưu trí)</w:t>
      </w:r>
      <w:r w:rsidR="00512428">
        <w:rPr>
          <w:spacing w:val="-4"/>
          <w:szCs w:val="26"/>
        </w:rPr>
        <w:t>.</w:t>
      </w:r>
    </w:p>
    <w:p w:rsidR="00322B70" w:rsidRPr="00FB74C6" w:rsidRDefault="00322B70" w:rsidP="00322B70">
      <w:pPr>
        <w:spacing w:after="0"/>
        <w:ind w:firstLine="720"/>
        <w:jc w:val="both"/>
        <w:rPr>
          <w:szCs w:val="26"/>
          <w:lang w:val="nl-NL"/>
        </w:rPr>
      </w:pPr>
      <w:r w:rsidRPr="00FB74C6">
        <w:rPr>
          <w:szCs w:val="26"/>
          <w:lang w:val="nl-NL"/>
        </w:rPr>
        <w:t xml:space="preserve">Trong năm 2017, </w:t>
      </w:r>
      <w:r w:rsidR="00171C97" w:rsidRPr="00FB74C6">
        <w:rPr>
          <w:szCs w:val="26"/>
          <w:lang w:val="nl-NL"/>
        </w:rPr>
        <w:t>B</w:t>
      </w:r>
      <w:r w:rsidRPr="00FB74C6">
        <w:rPr>
          <w:szCs w:val="26"/>
          <w:lang w:val="nl-NL"/>
        </w:rPr>
        <w:t>an kiểm soát đã triển khai thực hiện các công việc trọng tâm sau đây:</w:t>
      </w:r>
    </w:p>
    <w:p w:rsidR="00171C97" w:rsidRPr="00FB74C6" w:rsidRDefault="003063E5" w:rsidP="003063E5">
      <w:pPr>
        <w:spacing w:after="0"/>
        <w:ind w:firstLine="720"/>
        <w:jc w:val="both"/>
        <w:rPr>
          <w:szCs w:val="26"/>
          <w:lang w:val="nl-NL"/>
        </w:rPr>
      </w:pPr>
      <w:r w:rsidRPr="00FB74C6">
        <w:rPr>
          <w:szCs w:val="26"/>
          <w:lang w:val="nl-NL"/>
        </w:rPr>
        <w:t xml:space="preserve">- Xây dựng và ban hành Kế hoạch công tác giám sát năm 2017 tại văn bản số 0221/PLX-BKS ngày 07/3/2017. </w:t>
      </w:r>
    </w:p>
    <w:p w:rsidR="00E239AA" w:rsidRPr="00FB74C6" w:rsidRDefault="003063E5" w:rsidP="003063E5">
      <w:pPr>
        <w:spacing w:after="0"/>
        <w:ind w:firstLine="720"/>
        <w:jc w:val="both"/>
        <w:rPr>
          <w:szCs w:val="26"/>
          <w:lang w:val="nl-NL"/>
        </w:rPr>
      </w:pPr>
      <w:r w:rsidRPr="00FB74C6">
        <w:rPr>
          <w:szCs w:val="26"/>
          <w:lang w:val="nl-NL"/>
        </w:rPr>
        <w:t xml:space="preserve">- Ban hành </w:t>
      </w:r>
      <w:r w:rsidR="00DE2E3F" w:rsidRPr="00FB74C6">
        <w:rPr>
          <w:szCs w:val="26"/>
          <w:lang w:val="nl-NL"/>
        </w:rPr>
        <w:t>Quy định</w:t>
      </w:r>
      <w:r w:rsidRPr="00FB74C6">
        <w:rPr>
          <w:szCs w:val="26"/>
          <w:lang w:val="nl-NL"/>
        </w:rPr>
        <w:t xml:space="preserve"> về tổ chức và hoạt động của Tổ giúp việc Ban ki</w:t>
      </w:r>
      <w:r w:rsidR="00BF4EAF">
        <w:rPr>
          <w:szCs w:val="26"/>
          <w:lang w:val="nl-NL"/>
        </w:rPr>
        <w:t>ể</w:t>
      </w:r>
      <w:r w:rsidRPr="00FB74C6">
        <w:rPr>
          <w:szCs w:val="26"/>
          <w:lang w:val="nl-NL"/>
        </w:rPr>
        <w:t xml:space="preserve">m soát </w:t>
      </w:r>
      <w:r w:rsidR="00171C97" w:rsidRPr="00FB74C6">
        <w:rPr>
          <w:szCs w:val="26"/>
          <w:lang w:val="nl-NL"/>
        </w:rPr>
        <w:t>Tập đoàn tại</w:t>
      </w:r>
      <w:r w:rsidRPr="00FB74C6">
        <w:rPr>
          <w:szCs w:val="26"/>
          <w:lang w:val="nl-NL"/>
        </w:rPr>
        <w:t xml:space="preserve"> Quyết định số156/PLX-QĐ-BKS ngày 27/3/2017. </w:t>
      </w:r>
    </w:p>
    <w:p w:rsidR="003063E5" w:rsidRPr="00FB74C6" w:rsidRDefault="00E239AA" w:rsidP="003063E5">
      <w:pPr>
        <w:spacing w:after="0"/>
        <w:ind w:firstLine="720"/>
        <w:jc w:val="both"/>
        <w:rPr>
          <w:szCs w:val="26"/>
          <w:lang w:val="nl-NL"/>
        </w:rPr>
      </w:pPr>
      <w:r w:rsidRPr="00FB74C6">
        <w:rPr>
          <w:szCs w:val="26"/>
          <w:lang w:val="nl-NL"/>
        </w:rPr>
        <w:t>- Phân công nhiệm vụ cho từng Kiểm soát viên, Tổ giúp việc Ban kiểm soát bằng văn bản</w:t>
      </w:r>
      <w:r w:rsidR="003063E5" w:rsidRPr="00FB74C6">
        <w:rPr>
          <w:szCs w:val="26"/>
          <w:lang w:val="nl-NL"/>
        </w:rPr>
        <w:t>.</w:t>
      </w:r>
    </w:p>
    <w:p w:rsidR="00C54369" w:rsidRPr="00FB74C6" w:rsidRDefault="00C54369" w:rsidP="003063E5">
      <w:pPr>
        <w:spacing w:after="0"/>
        <w:ind w:firstLine="720"/>
        <w:jc w:val="both"/>
        <w:rPr>
          <w:szCs w:val="26"/>
          <w:lang w:val="nl-NL"/>
        </w:rPr>
      </w:pPr>
      <w:r w:rsidRPr="00FB74C6">
        <w:rPr>
          <w:szCs w:val="26"/>
          <w:lang w:val="nl-NL"/>
        </w:rPr>
        <w:t>- Xây dựng kế hoạch công tác của từng Kiểm soát viên, từng chuyên viên, Tổ giúp việc</w:t>
      </w:r>
      <w:r w:rsidR="00BF4EAF">
        <w:rPr>
          <w:szCs w:val="26"/>
          <w:lang w:val="nl-NL"/>
        </w:rPr>
        <w:t xml:space="preserve"> Ban kiểm soát.</w:t>
      </w:r>
    </w:p>
    <w:p w:rsidR="009F1607" w:rsidRPr="00FB74C6" w:rsidRDefault="009F1607" w:rsidP="009F1607">
      <w:pPr>
        <w:spacing w:after="0"/>
        <w:ind w:firstLine="720"/>
        <w:jc w:val="both"/>
        <w:rPr>
          <w:szCs w:val="26"/>
          <w:lang w:val="nl-NL"/>
        </w:rPr>
      </w:pPr>
      <w:r w:rsidRPr="00FB74C6">
        <w:rPr>
          <w:szCs w:val="26"/>
          <w:lang w:val="nl-NL"/>
        </w:rPr>
        <w:t>- Tổ chức thu thập thông tin, xây dựng và hoàn thiện cơ sở dữ liệu phục vụ cho công tác giám sát</w:t>
      </w:r>
      <w:r w:rsidR="00BF4EAF">
        <w:rPr>
          <w:szCs w:val="26"/>
          <w:lang w:val="nl-NL"/>
        </w:rPr>
        <w:t>,</w:t>
      </w:r>
      <w:r w:rsidRPr="00FB74C6">
        <w:rPr>
          <w:szCs w:val="26"/>
          <w:lang w:val="nl-NL"/>
        </w:rPr>
        <w:t xml:space="preserve"> phân tích Báo cáo tài chính định kỳ, </w:t>
      </w:r>
      <w:r w:rsidR="00C54369" w:rsidRPr="00FB74C6">
        <w:rPr>
          <w:szCs w:val="26"/>
          <w:lang w:val="nl-NL"/>
        </w:rPr>
        <w:t xml:space="preserve">đảm bảo tính </w:t>
      </w:r>
      <w:r w:rsidRPr="00FB74C6">
        <w:rPr>
          <w:szCs w:val="26"/>
          <w:lang w:val="nl-NL"/>
        </w:rPr>
        <w:t xml:space="preserve">kịp thời và </w:t>
      </w:r>
      <w:r w:rsidR="002F32C9" w:rsidRPr="00FB74C6">
        <w:rPr>
          <w:szCs w:val="26"/>
          <w:lang w:val="nl-NL"/>
        </w:rPr>
        <w:t xml:space="preserve">có </w:t>
      </w:r>
      <w:r w:rsidRPr="00FB74C6">
        <w:rPr>
          <w:szCs w:val="26"/>
          <w:lang w:val="nl-NL"/>
        </w:rPr>
        <w:t>chất lượng hơn trước.</w:t>
      </w:r>
    </w:p>
    <w:p w:rsidR="009F1607" w:rsidRPr="00FB74C6" w:rsidRDefault="009F1607" w:rsidP="009F1607">
      <w:pPr>
        <w:spacing w:after="0"/>
        <w:ind w:firstLine="720"/>
        <w:jc w:val="both"/>
        <w:rPr>
          <w:szCs w:val="26"/>
          <w:lang w:val="nl-NL"/>
        </w:rPr>
      </w:pPr>
      <w:r w:rsidRPr="00FB74C6">
        <w:rPr>
          <w:szCs w:val="26"/>
          <w:lang w:val="nl-NL"/>
        </w:rPr>
        <w:t>- Thực hiện thẩm định, phân tích</w:t>
      </w:r>
      <w:r w:rsidR="00C54369" w:rsidRPr="00FB74C6">
        <w:rPr>
          <w:szCs w:val="26"/>
          <w:lang w:val="nl-NL"/>
        </w:rPr>
        <w:t>,</w:t>
      </w:r>
      <w:r w:rsidRPr="00FB74C6">
        <w:rPr>
          <w:szCs w:val="26"/>
          <w:lang w:val="nl-NL"/>
        </w:rPr>
        <w:t xml:space="preserve"> đánh giá về </w:t>
      </w:r>
      <w:r w:rsidR="00C54369" w:rsidRPr="00FB74C6">
        <w:rPr>
          <w:szCs w:val="26"/>
          <w:lang w:val="nl-NL"/>
        </w:rPr>
        <w:t xml:space="preserve">tình hình, </w:t>
      </w:r>
      <w:r w:rsidRPr="00FB74C6">
        <w:rPr>
          <w:szCs w:val="26"/>
          <w:lang w:val="nl-NL"/>
        </w:rPr>
        <w:t>kết quả kinh doanh và công tác quản trị doanh nghiệp</w:t>
      </w:r>
      <w:r w:rsidR="00AD2795">
        <w:rPr>
          <w:szCs w:val="26"/>
          <w:lang w:val="nl-NL"/>
        </w:rPr>
        <w:t xml:space="preserve"> theo định kỳ</w:t>
      </w:r>
      <w:r w:rsidRPr="00FB74C6">
        <w:rPr>
          <w:szCs w:val="26"/>
          <w:lang w:val="nl-NL"/>
        </w:rPr>
        <w:t xml:space="preserve">. </w:t>
      </w:r>
    </w:p>
    <w:p w:rsidR="009F1607" w:rsidRPr="00FB74C6" w:rsidRDefault="009F1607" w:rsidP="009F1607">
      <w:pPr>
        <w:spacing w:after="0"/>
        <w:ind w:firstLine="720"/>
        <w:jc w:val="both"/>
        <w:rPr>
          <w:spacing w:val="-2"/>
          <w:szCs w:val="26"/>
          <w:lang w:val="nl-NL"/>
        </w:rPr>
      </w:pPr>
      <w:r w:rsidRPr="00FB74C6">
        <w:rPr>
          <w:spacing w:val="-2"/>
          <w:szCs w:val="26"/>
          <w:lang w:val="nl-NL"/>
        </w:rPr>
        <w:t>- Tham dự các cuộc họp và có ý kiến tham gia với H</w:t>
      </w:r>
      <w:r w:rsidR="002F32C9" w:rsidRPr="00FB74C6">
        <w:rPr>
          <w:spacing w:val="-2"/>
          <w:szCs w:val="26"/>
          <w:lang w:val="nl-NL"/>
        </w:rPr>
        <w:t>ĐQT</w:t>
      </w:r>
      <w:r w:rsidRPr="00FB74C6">
        <w:rPr>
          <w:spacing w:val="-2"/>
          <w:szCs w:val="26"/>
          <w:lang w:val="nl-NL"/>
        </w:rPr>
        <w:t xml:space="preserve"> Tập đoàn.</w:t>
      </w:r>
    </w:p>
    <w:p w:rsidR="00C9183B" w:rsidRPr="002A184B" w:rsidRDefault="00C9183B" w:rsidP="00023654">
      <w:pPr>
        <w:spacing w:after="0"/>
        <w:ind w:firstLine="720"/>
        <w:jc w:val="both"/>
        <w:rPr>
          <w:szCs w:val="26"/>
          <w:lang w:val="nl-NL"/>
        </w:rPr>
      </w:pPr>
      <w:r w:rsidRPr="00FB74C6">
        <w:rPr>
          <w:szCs w:val="26"/>
          <w:lang w:val="nl-NL"/>
        </w:rPr>
        <w:lastRenderedPageBreak/>
        <w:t xml:space="preserve">- Tổ chức </w:t>
      </w:r>
      <w:r w:rsidR="00B83A12" w:rsidRPr="00FB74C6">
        <w:rPr>
          <w:szCs w:val="26"/>
          <w:lang w:val="nl-NL"/>
        </w:rPr>
        <w:t>kiểm tra, giám sát</w:t>
      </w:r>
      <w:r w:rsidRPr="00FB74C6">
        <w:rPr>
          <w:szCs w:val="26"/>
          <w:lang w:val="nl-NL"/>
        </w:rPr>
        <w:t xml:space="preserve"> trực </w:t>
      </w:r>
      <w:r w:rsidRPr="002A184B">
        <w:rPr>
          <w:szCs w:val="26"/>
          <w:lang w:val="nl-NL"/>
        </w:rPr>
        <w:t>tiếp</w:t>
      </w:r>
      <w:r w:rsidR="00762155">
        <w:rPr>
          <w:szCs w:val="26"/>
          <w:lang w:val="nl-NL"/>
        </w:rPr>
        <w:t xml:space="preserve"> </w:t>
      </w:r>
      <w:r w:rsidR="003F0751" w:rsidRPr="002A184B">
        <w:rPr>
          <w:szCs w:val="26"/>
          <w:lang w:val="nl-NL"/>
        </w:rPr>
        <w:t xml:space="preserve">tại </w:t>
      </w:r>
      <w:r w:rsidR="001F4FEE" w:rsidRPr="002A184B">
        <w:rPr>
          <w:szCs w:val="26"/>
          <w:lang w:val="nl-NL"/>
        </w:rPr>
        <w:t>6</w:t>
      </w:r>
      <w:r w:rsidR="009F1607" w:rsidRPr="002A184B">
        <w:rPr>
          <w:szCs w:val="26"/>
          <w:lang w:val="nl-NL"/>
        </w:rPr>
        <w:t xml:space="preserve"> TCTy/CTy, phúc tra kết quả tổ chức thực hiện ý kiến chỉ đạo của HĐQT </w:t>
      </w:r>
      <w:r w:rsidR="002F32C9" w:rsidRPr="002A184B">
        <w:rPr>
          <w:szCs w:val="26"/>
          <w:lang w:val="nl-NL"/>
        </w:rPr>
        <w:t xml:space="preserve">Tập đoàn </w:t>
      </w:r>
      <w:r w:rsidR="009F1607" w:rsidRPr="002A184B">
        <w:rPr>
          <w:szCs w:val="26"/>
          <w:lang w:val="nl-NL"/>
        </w:rPr>
        <w:t>tại 2 TCTy</w:t>
      </w:r>
      <w:r w:rsidR="00B3539D">
        <w:rPr>
          <w:szCs w:val="26"/>
          <w:lang w:val="nl-NL"/>
        </w:rPr>
        <w:t xml:space="preserve"> </w:t>
      </w:r>
      <w:r w:rsidR="007B1887" w:rsidRPr="002A184B">
        <w:rPr>
          <w:szCs w:val="26"/>
          <w:lang w:val="nl-NL"/>
        </w:rPr>
        <w:t xml:space="preserve">và </w:t>
      </w:r>
      <w:r w:rsidR="00350DDC" w:rsidRPr="002A184B">
        <w:rPr>
          <w:szCs w:val="26"/>
          <w:lang w:val="nl-NL"/>
        </w:rPr>
        <w:t>tham gia</w:t>
      </w:r>
      <w:r w:rsidR="00984E02" w:rsidRPr="002A184B">
        <w:rPr>
          <w:szCs w:val="26"/>
          <w:lang w:val="nl-NL"/>
        </w:rPr>
        <w:t xml:space="preserve"> phối hợp </w:t>
      </w:r>
      <w:r w:rsidR="00350DDC" w:rsidRPr="002A184B">
        <w:rPr>
          <w:szCs w:val="26"/>
          <w:lang w:val="nl-NL"/>
        </w:rPr>
        <w:t>kiểm tra, gi</w:t>
      </w:r>
      <w:r w:rsidR="00135C2B" w:rsidRPr="002A184B">
        <w:rPr>
          <w:szCs w:val="26"/>
          <w:lang w:val="nl-NL"/>
        </w:rPr>
        <w:t>ám sát</w:t>
      </w:r>
      <w:r w:rsidR="00B3539D">
        <w:rPr>
          <w:szCs w:val="26"/>
          <w:lang w:val="nl-NL"/>
        </w:rPr>
        <w:t xml:space="preserve"> </w:t>
      </w:r>
      <w:r w:rsidR="00A70EA8" w:rsidRPr="002A184B">
        <w:rPr>
          <w:szCs w:val="26"/>
          <w:lang w:val="nl-NL"/>
        </w:rPr>
        <w:t>khác</w:t>
      </w:r>
      <w:r w:rsidR="00984E02" w:rsidRPr="002A184B">
        <w:rPr>
          <w:szCs w:val="26"/>
          <w:lang w:val="nl-NL"/>
        </w:rPr>
        <w:t xml:space="preserve"> tại </w:t>
      </w:r>
      <w:r w:rsidR="00250DC3" w:rsidRPr="002A184B">
        <w:rPr>
          <w:szCs w:val="26"/>
          <w:lang w:val="nl-NL"/>
        </w:rPr>
        <w:t>1</w:t>
      </w:r>
      <w:r w:rsidR="001F4FEE" w:rsidRPr="002A184B">
        <w:rPr>
          <w:szCs w:val="26"/>
          <w:lang w:val="nl-NL"/>
        </w:rPr>
        <w:t>0</w:t>
      </w:r>
      <w:r w:rsidR="00984E02" w:rsidRPr="002A184B">
        <w:rPr>
          <w:szCs w:val="26"/>
          <w:lang w:val="nl-NL"/>
        </w:rPr>
        <w:t xml:space="preserve"> CTy thành viên</w:t>
      </w:r>
      <w:r w:rsidR="00AF3E5E">
        <w:rPr>
          <w:szCs w:val="26"/>
          <w:lang w:val="nl-NL"/>
        </w:rPr>
        <w:t xml:space="preserve"> </w:t>
      </w:r>
      <w:r w:rsidR="00984E02" w:rsidRPr="002A184B">
        <w:rPr>
          <w:szCs w:val="26"/>
          <w:lang w:val="nl-NL"/>
        </w:rPr>
        <w:t>thuộc</w:t>
      </w:r>
      <w:r w:rsidR="00A70EA8" w:rsidRPr="002A184B">
        <w:rPr>
          <w:szCs w:val="26"/>
          <w:lang w:val="nl-NL"/>
        </w:rPr>
        <w:t xml:space="preserve"> Tậ</w:t>
      </w:r>
      <w:r w:rsidR="00667325" w:rsidRPr="002A184B">
        <w:rPr>
          <w:szCs w:val="26"/>
          <w:lang w:val="nl-NL"/>
        </w:rPr>
        <w:t>p đoàn</w:t>
      </w:r>
      <w:r w:rsidR="007B1887" w:rsidRPr="002A184B">
        <w:rPr>
          <w:szCs w:val="26"/>
          <w:lang w:val="nl-NL"/>
        </w:rPr>
        <w:t>.</w:t>
      </w:r>
    </w:p>
    <w:p w:rsidR="00C9183B" w:rsidRPr="00FB74C6" w:rsidRDefault="00C9183B" w:rsidP="00023654">
      <w:pPr>
        <w:spacing w:after="0"/>
        <w:ind w:firstLine="720"/>
        <w:jc w:val="both"/>
        <w:rPr>
          <w:spacing w:val="-2"/>
          <w:szCs w:val="26"/>
          <w:lang w:val="nl-NL"/>
        </w:rPr>
      </w:pPr>
      <w:r w:rsidRPr="002A184B">
        <w:rPr>
          <w:spacing w:val="-2"/>
          <w:szCs w:val="26"/>
          <w:lang w:val="nl-NL"/>
        </w:rPr>
        <w:t xml:space="preserve">- </w:t>
      </w:r>
      <w:r w:rsidR="00A70EA8" w:rsidRPr="002A184B">
        <w:rPr>
          <w:spacing w:val="-2"/>
          <w:szCs w:val="26"/>
          <w:lang w:val="nl-NL"/>
        </w:rPr>
        <w:t xml:space="preserve"> Tham gia rà soát, đánh giá, sửa đổi, bổ sung</w:t>
      </w:r>
      <w:r w:rsidR="00135C2B" w:rsidRPr="00FB74C6">
        <w:rPr>
          <w:spacing w:val="-2"/>
          <w:szCs w:val="26"/>
          <w:lang w:val="nl-NL"/>
        </w:rPr>
        <w:t>, hoàn thiện</w:t>
      </w:r>
      <w:r w:rsidR="00A70EA8" w:rsidRPr="00FB74C6">
        <w:rPr>
          <w:spacing w:val="-2"/>
          <w:szCs w:val="26"/>
          <w:lang w:val="nl-NL"/>
        </w:rPr>
        <w:t xml:space="preserve"> Điều lệ</w:t>
      </w:r>
      <w:r w:rsidR="00135C2B" w:rsidRPr="00FB74C6">
        <w:rPr>
          <w:spacing w:val="-2"/>
          <w:szCs w:val="26"/>
          <w:lang w:val="nl-NL"/>
        </w:rPr>
        <w:t xml:space="preserve">, </w:t>
      </w:r>
      <w:r w:rsidR="00A70EA8" w:rsidRPr="00FB74C6">
        <w:rPr>
          <w:spacing w:val="-2"/>
          <w:szCs w:val="26"/>
          <w:lang w:val="nl-NL"/>
        </w:rPr>
        <w:t>quy chế, quy định, quy trình quản lý, định mức kinh tế-kỹ thuật</w:t>
      </w:r>
      <w:r w:rsidR="00135C2B" w:rsidRPr="00FB74C6">
        <w:rPr>
          <w:spacing w:val="-2"/>
          <w:szCs w:val="26"/>
          <w:lang w:val="nl-NL"/>
        </w:rPr>
        <w:t>...</w:t>
      </w:r>
      <w:r w:rsidR="00A70EA8" w:rsidRPr="00FB74C6">
        <w:rPr>
          <w:spacing w:val="-2"/>
          <w:szCs w:val="26"/>
          <w:lang w:val="nl-NL"/>
        </w:rPr>
        <w:t xml:space="preserve"> về quản trị nội bộ Tập đoàn</w:t>
      </w:r>
      <w:r w:rsidR="00135C2B" w:rsidRPr="00FB74C6">
        <w:rPr>
          <w:spacing w:val="-2"/>
          <w:szCs w:val="26"/>
          <w:lang w:val="nl-NL"/>
        </w:rPr>
        <w:t>.</w:t>
      </w:r>
    </w:p>
    <w:p w:rsidR="006749D9" w:rsidRPr="00FB74C6" w:rsidRDefault="006749D9" w:rsidP="00023654">
      <w:pPr>
        <w:spacing w:after="0"/>
        <w:ind w:firstLine="720"/>
        <w:jc w:val="both"/>
        <w:rPr>
          <w:szCs w:val="26"/>
          <w:lang w:val="nl-NL"/>
        </w:rPr>
      </w:pPr>
      <w:r w:rsidRPr="00FB74C6">
        <w:rPr>
          <w:spacing w:val="-2"/>
          <w:szCs w:val="26"/>
          <w:lang w:val="nl-NL"/>
        </w:rPr>
        <w:t>- Xây dựng</w:t>
      </w:r>
      <w:r w:rsidR="000442DF" w:rsidRPr="00FB74C6">
        <w:rPr>
          <w:spacing w:val="-2"/>
          <w:szCs w:val="26"/>
          <w:lang w:val="nl-NL"/>
        </w:rPr>
        <w:t xml:space="preserve"> dự thảo</w:t>
      </w:r>
      <w:r w:rsidR="00B3539D">
        <w:rPr>
          <w:spacing w:val="-2"/>
          <w:szCs w:val="26"/>
          <w:lang w:val="nl-NL"/>
        </w:rPr>
        <w:t xml:space="preserve"> </w:t>
      </w:r>
      <w:r w:rsidR="000442DF" w:rsidRPr="00FB74C6">
        <w:rPr>
          <w:szCs w:val="26"/>
          <w:lang w:val="nl-NL"/>
        </w:rPr>
        <w:t xml:space="preserve">quy trình thực hiện </w:t>
      </w:r>
      <w:r w:rsidR="00C54369" w:rsidRPr="00FB74C6">
        <w:rPr>
          <w:szCs w:val="26"/>
          <w:lang w:val="nl-NL"/>
        </w:rPr>
        <w:t xml:space="preserve">họp Ban kiểm soát, quy trình thực hiện </w:t>
      </w:r>
      <w:r w:rsidR="000442DF" w:rsidRPr="00FB74C6">
        <w:rPr>
          <w:szCs w:val="26"/>
          <w:lang w:val="nl-NL"/>
        </w:rPr>
        <w:t xml:space="preserve">giám sát </w:t>
      </w:r>
      <w:r w:rsidR="00C54369" w:rsidRPr="00FB74C6">
        <w:rPr>
          <w:szCs w:val="26"/>
          <w:lang w:val="nl-NL"/>
        </w:rPr>
        <w:t>theo lĩnh vực công tác</w:t>
      </w:r>
      <w:r w:rsidR="00DD7950" w:rsidRPr="00FB74C6">
        <w:rPr>
          <w:szCs w:val="26"/>
          <w:lang w:val="nl-NL"/>
        </w:rPr>
        <w:t>.</w:t>
      </w:r>
    </w:p>
    <w:p w:rsidR="00C54369" w:rsidRPr="00FB74C6" w:rsidRDefault="00C54369" w:rsidP="00023654">
      <w:pPr>
        <w:spacing w:after="0"/>
        <w:ind w:firstLine="720"/>
        <w:jc w:val="both"/>
        <w:rPr>
          <w:spacing w:val="-2"/>
          <w:szCs w:val="26"/>
          <w:lang w:val="nl-NL"/>
        </w:rPr>
      </w:pPr>
      <w:r w:rsidRPr="00FB74C6">
        <w:rPr>
          <w:szCs w:val="26"/>
          <w:lang w:val="nl-NL"/>
        </w:rPr>
        <w:t xml:space="preserve">- Xem xét và có ý kiến trả lời bằng văn bản </w:t>
      </w:r>
      <w:r w:rsidR="007F01D4">
        <w:rPr>
          <w:szCs w:val="26"/>
          <w:lang w:val="nl-NL"/>
        </w:rPr>
        <w:t>cho</w:t>
      </w:r>
      <w:r w:rsidRPr="00FB74C6">
        <w:rPr>
          <w:szCs w:val="26"/>
          <w:lang w:val="nl-NL"/>
        </w:rPr>
        <w:t xml:space="preserve"> cổ đông chiến lược</w:t>
      </w:r>
      <w:r w:rsidR="00417D80" w:rsidRPr="00FB74C6">
        <w:rPr>
          <w:szCs w:val="26"/>
          <w:lang w:val="nl-NL"/>
        </w:rPr>
        <w:t>.</w:t>
      </w:r>
    </w:p>
    <w:p w:rsidR="00417D80" w:rsidRPr="00FB74C6" w:rsidRDefault="00B83A12" w:rsidP="00023654">
      <w:pPr>
        <w:spacing w:after="0"/>
        <w:ind w:firstLine="720"/>
        <w:jc w:val="both"/>
        <w:rPr>
          <w:szCs w:val="26"/>
          <w:lang w:val="nl-NL"/>
        </w:rPr>
      </w:pPr>
      <w:r w:rsidRPr="00FB74C6">
        <w:rPr>
          <w:szCs w:val="26"/>
          <w:lang w:val="nl-NL"/>
        </w:rPr>
        <w:t xml:space="preserve">- Tham gia ý kiến </w:t>
      </w:r>
      <w:r w:rsidR="009F1607" w:rsidRPr="00FB74C6">
        <w:rPr>
          <w:szCs w:val="26"/>
          <w:lang w:val="nl-NL"/>
        </w:rPr>
        <w:t>trong việc</w:t>
      </w:r>
      <w:r w:rsidR="00B3539D">
        <w:rPr>
          <w:szCs w:val="26"/>
          <w:lang w:val="nl-NL"/>
        </w:rPr>
        <w:t xml:space="preserve"> </w:t>
      </w:r>
      <w:r w:rsidR="00135C2B" w:rsidRPr="00FB74C6">
        <w:rPr>
          <w:szCs w:val="26"/>
          <w:lang w:val="nl-NL"/>
        </w:rPr>
        <w:t xml:space="preserve">tổ chức </w:t>
      </w:r>
      <w:r w:rsidRPr="00FB74C6">
        <w:rPr>
          <w:szCs w:val="26"/>
          <w:lang w:val="nl-NL"/>
        </w:rPr>
        <w:t>xây dựng</w:t>
      </w:r>
      <w:r w:rsidR="009F1607" w:rsidRPr="00FB74C6">
        <w:rPr>
          <w:szCs w:val="26"/>
          <w:lang w:val="nl-NL"/>
        </w:rPr>
        <w:t xml:space="preserve"> và thực hiệnkế hoạch </w:t>
      </w:r>
      <w:r w:rsidRPr="00FB74C6">
        <w:rPr>
          <w:szCs w:val="26"/>
          <w:lang w:val="nl-NL"/>
        </w:rPr>
        <w:t>SXKD</w:t>
      </w:r>
      <w:r w:rsidR="00417D80" w:rsidRPr="00FB74C6">
        <w:rPr>
          <w:szCs w:val="26"/>
          <w:lang w:val="nl-NL"/>
        </w:rPr>
        <w:t>.</w:t>
      </w:r>
    </w:p>
    <w:p w:rsidR="00B83A12" w:rsidRPr="00FB74C6" w:rsidRDefault="00417D80" w:rsidP="00023654">
      <w:pPr>
        <w:spacing w:after="0"/>
        <w:ind w:firstLine="720"/>
        <w:jc w:val="both"/>
        <w:rPr>
          <w:szCs w:val="26"/>
          <w:lang w:val="nl-NL"/>
        </w:rPr>
      </w:pPr>
      <w:r w:rsidRPr="00FB74C6">
        <w:rPr>
          <w:szCs w:val="26"/>
          <w:lang w:val="nl-NL"/>
        </w:rPr>
        <w:t xml:space="preserve">- Thực hiện </w:t>
      </w:r>
      <w:r w:rsidR="00135C2B" w:rsidRPr="00FB74C6">
        <w:rPr>
          <w:szCs w:val="26"/>
          <w:lang w:val="nl-NL"/>
        </w:rPr>
        <w:t>các công việc có liên quan</w:t>
      </w:r>
      <w:r w:rsidR="006749D9" w:rsidRPr="00FB74C6">
        <w:rPr>
          <w:szCs w:val="26"/>
          <w:lang w:val="nl-NL"/>
        </w:rPr>
        <w:t xml:space="preserve"> khác</w:t>
      </w:r>
      <w:r w:rsidR="00135C2B" w:rsidRPr="00FB74C6">
        <w:rPr>
          <w:szCs w:val="26"/>
          <w:lang w:val="nl-NL"/>
        </w:rPr>
        <w:t xml:space="preserve"> của Tập đoàn.</w:t>
      </w:r>
    </w:p>
    <w:p w:rsidR="00417D80" w:rsidRPr="00FB74C6" w:rsidRDefault="00417D80" w:rsidP="00023654">
      <w:pPr>
        <w:spacing w:after="0"/>
        <w:ind w:firstLine="720"/>
        <w:jc w:val="both"/>
        <w:rPr>
          <w:szCs w:val="26"/>
          <w:lang w:val="nl-NL"/>
        </w:rPr>
      </w:pPr>
      <w:r w:rsidRPr="00B82522">
        <w:rPr>
          <w:szCs w:val="26"/>
          <w:lang w:val="nl-NL"/>
        </w:rPr>
        <w:t xml:space="preserve">- Tổng tiền lương, thù lao của các Kiểm soát viên Ban kiểm soát năm 2017 là </w:t>
      </w:r>
      <w:r w:rsidR="00BF4EAF" w:rsidRPr="00BB28E2">
        <w:rPr>
          <w:szCs w:val="26"/>
          <w:lang w:val="nl-NL"/>
        </w:rPr>
        <w:t>4.</w:t>
      </w:r>
      <w:r w:rsidR="00E264F6" w:rsidRPr="00BB28E2">
        <w:rPr>
          <w:szCs w:val="26"/>
          <w:lang w:val="nl-NL"/>
        </w:rPr>
        <w:t>7</w:t>
      </w:r>
      <w:r w:rsidR="00BF4EAF" w:rsidRPr="00BB28E2">
        <w:rPr>
          <w:szCs w:val="26"/>
          <w:lang w:val="nl-NL"/>
        </w:rPr>
        <w:t>0</w:t>
      </w:r>
      <w:r w:rsidR="00E264F6" w:rsidRPr="00BB28E2">
        <w:rPr>
          <w:szCs w:val="26"/>
          <w:lang w:val="nl-NL"/>
        </w:rPr>
        <w:t>0</w:t>
      </w:r>
      <w:r w:rsidR="00AF3E5E">
        <w:rPr>
          <w:szCs w:val="26"/>
          <w:lang w:val="nl-NL"/>
        </w:rPr>
        <w:t xml:space="preserve"> </w:t>
      </w:r>
      <w:r w:rsidRPr="00B82522">
        <w:rPr>
          <w:szCs w:val="26"/>
          <w:lang w:val="nl-NL"/>
        </w:rPr>
        <w:t>triệu đồng. Các chi</w:t>
      </w:r>
      <w:r w:rsidR="00984E02" w:rsidRPr="00B82522">
        <w:rPr>
          <w:szCs w:val="26"/>
          <w:lang w:val="nl-NL"/>
        </w:rPr>
        <w:t xml:space="preserve"> phí</w:t>
      </w:r>
      <w:r w:rsidRPr="00B82522">
        <w:rPr>
          <w:szCs w:val="26"/>
          <w:lang w:val="nl-NL"/>
        </w:rPr>
        <w:t xml:space="preserve"> khác phục vụ cho hoạt động của Kiểm soát viên, Ban </w:t>
      </w:r>
      <w:r w:rsidRPr="00FB74C6">
        <w:rPr>
          <w:szCs w:val="26"/>
          <w:lang w:val="nl-NL"/>
        </w:rPr>
        <w:t xml:space="preserve">kiểm soát được thực hiện theo Điều lệ, quy chế, quy định hiện hành của Tập đoàn. </w:t>
      </w:r>
    </w:p>
    <w:p w:rsidR="0059236D" w:rsidRPr="00B82522" w:rsidRDefault="0059236D">
      <w:pPr>
        <w:spacing w:after="0" w:line="240" w:lineRule="auto"/>
        <w:rPr>
          <w:b/>
          <w:color w:val="000000"/>
          <w:szCs w:val="26"/>
          <w:u w:val="single"/>
        </w:rPr>
      </w:pPr>
    </w:p>
    <w:p w:rsidR="00A7641D" w:rsidRPr="00B82522" w:rsidRDefault="00DD0EA4" w:rsidP="00C9725C">
      <w:pPr>
        <w:spacing w:after="0"/>
        <w:ind w:firstLine="720"/>
        <w:jc w:val="center"/>
        <w:rPr>
          <w:b/>
          <w:color w:val="000000"/>
          <w:szCs w:val="26"/>
        </w:rPr>
      </w:pPr>
      <w:r w:rsidRPr="004911CA">
        <w:rPr>
          <w:b/>
          <w:color w:val="000000"/>
          <w:szCs w:val="26"/>
          <w:u w:val="single"/>
        </w:rPr>
        <w:t xml:space="preserve">PHẦN </w:t>
      </w:r>
      <w:r w:rsidR="00156A8D" w:rsidRPr="004911CA">
        <w:rPr>
          <w:b/>
          <w:color w:val="000000"/>
          <w:szCs w:val="26"/>
          <w:u w:val="single"/>
        </w:rPr>
        <w:t>II</w:t>
      </w:r>
      <w:r w:rsidRPr="004911CA">
        <w:rPr>
          <w:b/>
          <w:color w:val="000000"/>
          <w:szCs w:val="26"/>
        </w:rPr>
        <w:t>:</w:t>
      </w:r>
      <w:r w:rsidR="004911CA">
        <w:rPr>
          <w:b/>
          <w:color w:val="000000"/>
          <w:szCs w:val="26"/>
        </w:rPr>
        <w:t xml:space="preserve"> </w:t>
      </w:r>
      <w:r w:rsidR="008A468D" w:rsidRPr="00B82522">
        <w:rPr>
          <w:b/>
          <w:color w:val="000000"/>
          <w:szCs w:val="26"/>
        </w:rPr>
        <w:t>K</w:t>
      </w:r>
      <w:r w:rsidR="00C9725C" w:rsidRPr="00B82522">
        <w:rPr>
          <w:b/>
          <w:color w:val="000000"/>
          <w:szCs w:val="26"/>
        </w:rPr>
        <w:t>ẾT QUẢ</w:t>
      </w:r>
      <w:r w:rsidR="009033A4" w:rsidRPr="00B82522">
        <w:rPr>
          <w:b/>
          <w:color w:val="000000"/>
          <w:szCs w:val="26"/>
        </w:rPr>
        <w:t xml:space="preserve"> CÔNG TÁC GIÁM SÁT NĂM 2017</w:t>
      </w:r>
    </w:p>
    <w:p w:rsidR="00B20294" w:rsidRPr="00B82522" w:rsidRDefault="00B20294" w:rsidP="00023654">
      <w:pPr>
        <w:pStyle w:val="ListParagraph"/>
        <w:spacing w:after="0"/>
        <w:ind w:left="1080"/>
        <w:jc w:val="both"/>
        <w:rPr>
          <w:b/>
          <w:color w:val="000000"/>
          <w:szCs w:val="26"/>
          <w:u w:val="single"/>
        </w:rPr>
      </w:pPr>
    </w:p>
    <w:p w:rsidR="002F1D0C" w:rsidRPr="00B82522" w:rsidRDefault="002F1D0C" w:rsidP="002D23CD">
      <w:pPr>
        <w:spacing w:after="0"/>
        <w:ind w:firstLine="720"/>
        <w:jc w:val="both"/>
        <w:rPr>
          <w:b/>
          <w:i/>
          <w:szCs w:val="26"/>
        </w:rPr>
      </w:pPr>
      <w:r w:rsidRPr="00B82522">
        <w:rPr>
          <w:b/>
          <w:i/>
          <w:szCs w:val="26"/>
        </w:rPr>
        <w:t>1. Thẩm đị</w:t>
      </w:r>
      <w:r w:rsidR="00667325" w:rsidRPr="00B82522">
        <w:rPr>
          <w:b/>
          <w:i/>
          <w:szCs w:val="26"/>
        </w:rPr>
        <w:t xml:space="preserve">nh </w:t>
      </w:r>
      <w:r w:rsidR="00C9725C" w:rsidRPr="00B82522">
        <w:rPr>
          <w:b/>
          <w:i/>
          <w:szCs w:val="26"/>
        </w:rPr>
        <w:t>B</w:t>
      </w:r>
      <w:r w:rsidR="00667325" w:rsidRPr="00B82522">
        <w:rPr>
          <w:b/>
          <w:i/>
          <w:szCs w:val="26"/>
        </w:rPr>
        <w:t xml:space="preserve">áo cáo tài chính </w:t>
      </w:r>
      <w:r w:rsidR="00C9725C" w:rsidRPr="00B82522">
        <w:rPr>
          <w:b/>
          <w:i/>
          <w:szCs w:val="26"/>
        </w:rPr>
        <w:t xml:space="preserve">năm </w:t>
      </w:r>
      <w:r w:rsidR="009033A4" w:rsidRPr="00B82522">
        <w:rPr>
          <w:b/>
          <w:i/>
          <w:szCs w:val="26"/>
        </w:rPr>
        <w:t>2017</w:t>
      </w:r>
    </w:p>
    <w:p w:rsidR="002F1D0C" w:rsidRPr="00B82522" w:rsidRDefault="002F1D0C" w:rsidP="00023654">
      <w:pPr>
        <w:spacing w:after="0"/>
        <w:jc w:val="both"/>
        <w:rPr>
          <w:szCs w:val="26"/>
        </w:rPr>
      </w:pPr>
      <w:r w:rsidRPr="00B82522">
        <w:rPr>
          <w:szCs w:val="26"/>
        </w:rPr>
        <w:tab/>
        <w:t>- Báo cáo tài chính C</w:t>
      </w:r>
      <w:r w:rsidR="00062EB6" w:rsidRPr="00B82522">
        <w:rPr>
          <w:szCs w:val="26"/>
        </w:rPr>
        <w:t>T</w:t>
      </w:r>
      <w:r w:rsidRPr="00B82522">
        <w:rPr>
          <w:szCs w:val="26"/>
        </w:rPr>
        <w:t>y mẹ và Báo cáo tài chính hợp nhấ</w:t>
      </w:r>
      <w:r w:rsidR="00667325" w:rsidRPr="00B82522">
        <w:rPr>
          <w:szCs w:val="26"/>
        </w:rPr>
        <w:t>t năm 201</w:t>
      </w:r>
      <w:r w:rsidR="00290DF9" w:rsidRPr="00B82522">
        <w:rPr>
          <w:szCs w:val="26"/>
        </w:rPr>
        <w:t>7</w:t>
      </w:r>
      <w:r w:rsidRPr="00B82522">
        <w:rPr>
          <w:szCs w:val="26"/>
        </w:rPr>
        <w:t xml:space="preserve"> của Tập đoàn được C</w:t>
      </w:r>
      <w:r w:rsidR="008E1F9D" w:rsidRPr="00B82522">
        <w:rPr>
          <w:szCs w:val="26"/>
        </w:rPr>
        <w:t>T</w:t>
      </w:r>
      <w:r w:rsidRPr="00B82522">
        <w:rPr>
          <w:szCs w:val="26"/>
        </w:rPr>
        <w:t xml:space="preserve">y TNHH KPMG </w:t>
      </w:r>
      <w:r w:rsidR="00785F45" w:rsidRPr="00B82522">
        <w:rPr>
          <w:szCs w:val="26"/>
        </w:rPr>
        <w:t xml:space="preserve">Việt Nam </w:t>
      </w:r>
      <w:r w:rsidRPr="00B82522">
        <w:rPr>
          <w:szCs w:val="26"/>
        </w:rPr>
        <w:t xml:space="preserve">kiểm toán và phát hành </w:t>
      </w:r>
      <w:r w:rsidR="002B2A5F" w:rsidRPr="00B82522">
        <w:rPr>
          <w:szCs w:val="26"/>
        </w:rPr>
        <w:t>b</w:t>
      </w:r>
      <w:r w:rsidRPr="00B82522">
        <w:rPr>
          <w:szCs w:val="26"/>
        </w:rPr>
        <w:t xml:space="preserve">áo cáo kiểm toán ngày </w:t>
      </w:r>
      <w:r w:rsidR="008D4DBB" w:rsidRPr="00B82522">
        <w:rPr>
          <w:szCs w:val="26"/>
        </w:rPr>
        <w:t>3</w:t>
      </w:r>
      <w:r w:rsidR="00F94BE3" w:rsidRPr="00B82522">
        <w:rPr>
          <w:szCs w:val="26"/>
        </w:rPr>
        <w:t>0</w:t>
      </w:r>
      <w:r w:rsidRPr="00B82522">
        <w:rPr>
          <w:szCs w:val="26"/>
        </w:rPr>
        <w:t>/3/201</w:t>
      </w:r>
      <w:r w:rsidR="00BA366F" w:rsidRPr="00B82522">
        <w:rPr>
          <w:szCs w:val="26"/>
        </w:rPr>
        <w:t>8</w:t>
      </w:r>
      <w:r w:rsidRPr="00B82522">
        <w:rPr>
          <w:szCs w:val="26"/>
        </w:rPr>
        <w:t>.</w:t>
      </w:r>
    </w:p>
    <w:p w:rsidR="002F1D0C" w:rsidRPr="00B82522" w:rsidRDefault="0064666D" w:rsidP="00F94BE3">
      <w:pPr>
        <w:spacing w:after="0"/>
        <w:ind w:firstLine="720"/>
        <w:jc w:val="both"/>
        <w:rPr>
          <w:color w:val="FF0000"/>
          <w:spacing w:val="-4"/>
          <w:szCs w:val="26"/>
        </w:rPr>
      </w:pPr>
      <w:r w:rsidRPr="00B82522">
        <w:rPr>
          <w:szCs w:val="26"/>
        </w:rPr>
        <w:t xml:space="preserve">- Ý kiến </w:t>
      </w:r>
      <w:r w:rsidR="00F94BE3" w:rsidRPr="00B82522">
        <w:rPr>
          <w:szCs w:val="26"/>
        </w:rPr>
        <w:t xml:space="preserve">của kiểm toán viên: </w:t>
      </w:r>
      <w:r w:rsidR="002F1D0C" w:rsidRPr="00B82522">
        <w:rPr>
          <w:szCs w:val="26"/>
        </w:rPr>
        <w:t>Báo cáo tài chính C</w:t>
      </w:r>
      <w:r w:rsidR="005852CB" w:rsidRPr="00B82522">
        <w:rPr>
          <w:szCs w:val="26"/>
        </w:rPr>
        <w:t>T</w:t>
      </w:r>
      <w:r w:rsidR="002F1D0C" w:rsidRPr="00B82522">
        <w:rPr>
          <w:szCs w:val="26"/>
        </w:rPr>
        <w:t>y mẹ và Báo cáo tài chính hợp nhất năm 201</w:t>
      </w:r>
      <w:r w:rsidR="00471484" w:rsidRPr="00B82522">
        <w:rPr>
          <w:szCs w:val="26"/>
        </w:rPr>
        <w:t>7</w:t>
      </w:r>
      <w:r w:rsidR="005852CB" w:rsidRPr="00B82522">
        <w:rPr>
          <w:szCs w:val="26"/>
        </w:rPr>
        <w:t xml:space="preserve">của Tập đoàn </w:t>
      </w:r>
      <w:r w:rsidR="002F1D0C" w:rsidRPr="00B82522">
        <w:rPr>
          <w:szCs w:val="26"/>
        </w:rPr>
        <w:t>đã phản ánh trung thực</w:t>
      </w:r>
      <w:r w:rsidR="00F94BE3" w:rsidRPr="00B82522">
        <w:rPr>
          <w:szCs w:val="26"/>
        </w:rPr>
        <w:t xml:space="preserve"> và</w:t>
      </w:r>
      <w:r w:rsidR="002F1D0C" w:rsidRPr="00B82522">
        <w:rPr>
          <w:szCs w:val="26"/>
        </w:rPr>
        <w:t>hợ</w:t>
      </w:r>
      <w:r w:rsidR="00F94BE3" w:rsidRPr="00B82522">
        <w:rPr>
          <w:szCs w:val="26"/>
        </w:rPr>
        <w:t>p lý</w:t>
      </w:r>
      <w:r w:rsidR="002F1D0C" w:rsidRPr="00B82522">
        <w:rPr>
          <w:szCs w:val="26"/>
        </w:rPr>
        <w:t xml:space="preserve"> trên các khía cạnh trọng yếu tình hình tài chính tại thời điểm </w:t>
      </w:r>
      <w:r w:rsidR="005852CB" w:rsidRPr="00B82522">
        <w:rPr>
          <w:szCs w:val="26"/>
        </w:rPr>
        <w:t xml:space="preserve">ngày </w:t>
      </w:r>
      <w:r w:rsidR="002F1D0C" w:rsidRPr="00B82522">
        <w:rPr>
          <w:szCs w:val="26"/>
        </w:rPr>
        <w:t>31/12/201</w:t>
      </w:r>
      <w:r w:rsidR="00471484" w:rsidRPr="00B82522">
        <w:rPr>
          <w:szCs w:val="26"/>
        </w:rPr>
        <w:t>7</w:t>
      </w:r>
      <w:r w:rsidR="002F1D0C" w:rsidRPr="00B82522">
        <w:rPr>
          <w:szCs w:val="26"/>
        </w:rPr>
        <w:t xml:space="preserve"> cũng như kết </w:t>
      </w:r>
      <w:r w:rsidR="00A36C22" w:rsidRPr="00B82522">
        <w:rPr>
          <w:szCs w:val="26"/>
        </w:rPr>
        <w:t>quả</w:t>
      </w:r>
      <w:r w:rsidR="002F1D0C" w:rsidRPr="00B82522">
        <w:rPr>
          <w:szCs w:val="26"/>
        </w:rPr>
        <w:t xml:space="preserve"> hoạt động </w:t>
      </w:r>
      <w:r w:rsidR="00F94BE3" w:rsidRPr="00B82522">
        <w:rPr>
          <w:szCs w:val="26"/>
        </w:rPr>
        <w:t>kinh doanh</w:t>
      </w:r>
      <w:r w:rsidR="002F1D0C" w:rsidRPr="00B82522">
        <w:rPr>
          <w:szCs w:val="26"/>
        </w:rPr>
        <w:t xml:space="preserve"> và lưu chuyển tiền tệ trong năm tài chính kết thúc cùng ngày, phù hợp với</w:t>
      </w:r>
      <w:r w:rsidR="00F94BE3" w:rsidRPr="00B82522">
        <w:rPr>
          <w:szCs w:val="26"/>
        </w:rPr>
        <w:t xml:space="preserve"> các C</w:t>
      </w:r>
      <w:r w:rsidR="002F1D0C" w:rsidRPr="00B82522">
        <w:rPr>
          <w:szCs w:val="26"/>
        </w:rPr>
        <w:t>huẩn mự</w:t>
      </w:r>
      <w:r w:rsidR="00F94BE3" w:rsidRPr="00B82522">
        <w:rPr>
          <w:szCs w:val="26"/>
        </w:rPr>
        <w:t>c K</w:t>
      </w:r>
      <w:r w:rsidR="002F1D0C" w:rsidRPr="00B82522">
        <w:rPr>
          <w:szCs w:val="26"/>
        </w:rPr>
        <w:t>ế toán Việt Nam,</w:t>
      </w:r>
      <w:r w:rsidR="00F94BE3" w:rsidRPr="00B82522">
        <w:rPr>
          <w:szCs w:val="26"/>
        </w:rPr>
        <w:t>C</w:t>
      </w:r>
      <w:r w:rsidR="002F1D0C" w:rsidRPr="00B82522">
        <w:rPr>
          <w:szCs w:val="26"/>
        </w:rPr>
        <w:t xml:space="preserve">hế độ </w:t>
      </w:r>
      <w:r w:rsidR="00F94BE3" w:rsidRPr="00B82522">
        <w:rPr>
          <w:szCs w:val="26"/>
        </w:rPr>
        <w:t>K</w:t>
      </w:r>
      <w:r w:rsidR="002F1D0C" w:rsidRPr="00B82522">
        <w:rPr>
          <w:szCs w:val="26"/>
        </w:rPr>
        <w:t>ế</w:t>
      </w:r>
      <w:r w:rsidR="00F94BE3" w:rsidRPr="00B82522">
        <w:rPr>
          <w:szCs w:val="26"/>
        </w:rPr>
        <w:t xml:space="preserve"> toán D</w:t>
      </w:r>
      <w:r w:rsidR="002F1D0C" w:rsidRPr="00B82522">
        <w:rPr>
          <w:szCs w:val="26"/>
        </w:rPr>
        <w:t xml:space="preserve">oanh nghiệp Việt Nam </w:t>
      </w:r>
      <w:r w:rsidR="00F94BE3" w:rsidRPr="00B82522">
        <w:rPr>
          <w:szCs w:val="26"/>
        </w:rPr>
        <w:t>và</w:t>
      </w:r>
      <w:r w:rsidR="002F1D0C" w:rsidRPr="00B82522">
        <w:rPr>
          <w:szCs w:val="26"/>
        </w:rPr>
        <w:t xml:space="preserve"> các quy định pháp lý có liên quan đến việc lập và trình bày </w:t>
      </w:r>
      <w:r w:rsidR="00A36C22" w:rsidRPr="00B82522">
        <w:rPr>
          <w:szCs w:val="26"/>
        </w:rPr>
        <w:t>B</w:t>
      </w:r>
      <w:r w:rsidR="002F1D0C" w:rsidRPr="00B82522">
        <w:rPr>
          <w:szCs w:val="26"/>
        </w:rPr>
        <w:t>áo cáo tài chính.</w:t>
      </w:r>
    </w:p>
    <w:p w:rsidR="002F1D0C" w:rsidRPr="00B82522" w:rsidRDefault="002F1D0C" w:rsidP="00023654">
      <w:pPr>
        <w:spacing w:after="0"/>
        <w:ind w:firstLine="720"/>
        <w:jc w:val="both"/>
        <w:rPr>
          <w:szCs w:val="26"/>
        </w:rPr>
      </w:pPr>
      <w:r w:rsidRPr="00B82522">
        <w:rPr>
          <w:szCs w:val="26"/>
        </w:rPr>
        <w:t>-</w:t>
      </w:r>
      <w:r w:rsidR="003E32CC">
        <w:rPr>
          <w:szCs w:val="26"/>
        </w:rPr>
        <w:t xml:space="preserve"> </w:t>
      </w:r>
      <w:r w:rsidRPr="00B82522">
        <w:rPr>
          <w:szCs w:val="26"/>
        </w:rPr>
        <w:t>Một số chỉtiêu tài chính cơ bản trong Báo cáo tài chính C</w:t>
      </w:r>
      <w:r w:rsidR="005852CB" w:rsidRPr="00B82522">
        <w:rPr>
          <w:szCs w:val="26"/>
        </w:rPr>
        <w:t>T</w:t>
      </w:r>
      <w:r w:rsidRPr="00B82522">
        <w:rPr>
          <w:szCs w:val="26"/>
        </w:rPr>
        <w:t xml:space="preserve">y mẹ và Báo cáo tài chính hợp nhất </w:t>
      </w:r>
      <w:r w:rsidR="00BB28E2">
        <w:rPr>
          <w:szCs w:val="26"/>
        </w:rPr>
        <w:t xml:space="preserve">của Tập đoàn </w:t>
      </w:r>
      <w:r w:rsidR="005852CB" w:rsidRPr="00B82522">
        <w:rPr>
          <w:szCs w:val="26"/>
        </w:rPr>
        <w:t xml:space="preserve">năm </w:t>
      </w:r>
      <w:r w:rsidRPr="00B82522">
        <w:rPr>
          <w:szCs w:val="26"/>
        </w:rPr>
        <w:t>201</w:t>
      </w:r>
      <w:r w:rsidR="00471484" w:rsidRPr="00B82522">
        <w:rPr>
          <w:szCs w:val="26"/>
        </w:rPr>
        <w:t>7</w:t>
      </w:r>
      <w:r w:rsidR="00456703">
        <w:rPr>
          <w:szCs w:val="26"/>
        </w:rPr>
        <w:t>tại Phụ lục số 01</w:t>
      </w:r>
      <w:r w:rsidR="00607238">
        <w:rPr>
          <w:szCs w:val="26"/>
        </w:rPr>
        <w:t xml:space="preserve"> (</w:t>
      </w:r>
      <w:r w:rsidR="00607238" w:rsidRPr="00E4457F">
        <w:rPr>
          <w:i/>
          <w:szCs w:val="26"/>
        </w:rPr>
        <w:t>Kèm theo</w:t>
      </w:r>
      <w:r w:rsidR="00607238">
        <w:rPr>
          <w:szCs w:val="26"/>
        </w:rPr>
        <w:t>)</w:t>
      </w:r>
      <w:r w:rsidR="00456703">
        <w:rPr>
          <w:szCs w:val="26"/>
        </w:rPr>
        <w:t>.</w:t>
      </w:r>
    </w:p>
    <w:p w:rsidR="003A1E0B" w:rsidRPr="00B82522" w:rsidRDefault="002F1D0C" w:rsidP="00AC0B4F">
      <w:pPr>
        <w:spacing w:after="0"/>
        <w:ind w:firstLine="720"/>
        <w:jc w:val="both"/>
        <w:rPr>
          <w:b/>
          <w:i/>
          <w:spacing w:val="-4"/>
          <w:szCs w:val="26"/>
        </w:rPr>
      </w:pPr>
      <w:r w:rsidRPr="00B82522">
        <w:rPr>
          <w:b/>
          <w:i/>
          <w:spacing w:val="-4"/>
          <w:szCs w:val="26"/>
        </w:rPr>
        <w:t>2. Kế</w:t>
      </w:r>
      <w:r w:rsidR="00AC00EC" w:rsidRPr="00B82522">
        <w:rPr>
          <w:b/>
          <w:i/>
          <w:spacing w:val="-4"/>
          <w:szCs w:val="26"/>
        </w:rPr>
        <w:t>t quả</w:t>
      </w:r>
      <w:r w:rsidRPr="00B82522">
        <w:rPr>
          <w:b/>
          <w:i/>
          <w:spacing w:val="-4"/>
          <w:szCs w:val="26"/>
        </w:rPr>
        <w:t xml:space="preserve"> thực hiện các chỉ tiêu kế hoạch </w:t>
      </w:r>
      <w:r w:rsidR="00504227" w:rsidRPr="00B82522">
        <w:rPr>
          <w:b/>
          <w:i/>
          <w:spacing w:val="-4"/>
          <w:szCs w:val="26"/>
        </w:rPr>
        <w:t xml:space="preserve">và nghị quyết ĐHĐCĐ năm </w:t>
      </w:r>
      <w:r w:rsidR="00D85F0A" w:rsidRPr="00B82522">
        <w:rPr>
          <w:b/>
          <w:i/>
          <w:spacing w:val="-4"/>
          <w:szCs w:val="26"/>
        </w:rPr>
        <w:t>201</w:t>
      </w:r>
      <w:r w:rsidR="003A1E0B" w:rsidRPr="00B82522">
        <w:rPr>
          <w:b/>
          <w:i/>
          <w:spacing w:val="-4"/>
          <w:szCs w:val="26"/>
        </w:rPr>
        <w:t>7</w:t>
      </w:r>
    </w:p>
    <w:p w:rsidR="002F1D0C" w:rsidRPr="00B82522" w:rsidRDefault="00AC0B4F" w:rsidP="00AC0B4F">
      <w:pPr>
        <w:spacing w:after="0"/>
        <w:ind w:firstLine="720"/>
        <w:jc w:val="both"/>
        <w:rPr>
          <w:spacing w:val="-4"/>
          <w:szCs w:val="26"/>
        </w:rPr>
      </w:pPr>
      <w:r w:rsidRPr="00B82522">
        <w:rPr>
          <w:spacing w:val="-4"/>
          <w:szCs w:val="26"/>
        </w:rPr>
        <w:t xml:space="preserve">- </w:t>
      </w:r>
      <w:r w:rsidR="00D8631D" w:rsidRPr="00B82522">
        <w:rPr>
          <w:spacing w:val="-4"/>
          <w:szCs w:val="26"/>
        </w:rPr>
        <w:t>H</w:t>
      </w:r>
      <w:r w:rsidRPr="00B82522">
        <w:rPr>
          <w:spacing w:val="-4"/>
          <w:szCs w:val="26"/>
        </w:rPr>
        <w:t xml:space="preserve">oàn thành </w:t>
      </w:r>
      <w:r w:rsidR="00F06AE9" w:rsidRPr="00B82522">
        <w:rPr>
          <w:spacing w:val="-4"/>
          <w:szCs w:val="26"/>
        </w:rPr>
        <w:t>và hoàn thành vượt mức</w:t>
      </w:r>
      <w:r w:rsidRPr="00B82522">
        <w:rPr>
          <w:spacing w:val="-4"/>
          <w:szCs w:val="26"/>
        </w:rPr>
        <w:t xml:space="preserve"> các chỉ tiêu KHSXKD mà ĐHĐCĐ năm 201</w:t>
      </w:r>
      <w:r w:rsidR="00F06AE9" w:rsidRPr="00B82522">
        <w:rPr>
          <w:spacing w:val="-4"/>
          <w:szCs w:val="26"/>
        </w:rPr>
        <w:t>7</w:t>
      </w:r>
      <w:r w:rsidRPr="00B82522">
        <w:rPr>
          <w:spacing w:val="-4"/>
          <w:szCs w:val="26"/>
        </w:rPr>
        <w:t xml:space="preserve"> phê duyệt, cụ thể: </w:t>
      </w:r>
    </w:p>
    <w:p w:rsidR="00D8631D" w:rsidRPr="00B82522" w:rsidRDefault="00AC0B4F" w:rsidP="00504227">
      <w:pPr>
        <w:spacing w:after="0"/>
        <w:ind w:firstLine="720"/>
        <w:jc w:val="both"/>
        <w:rPr>
          <w:szCs w:val="26"/>
        </w:rPr>
      </w:pPr>
      <w:r w:rsidRPr="00B82522">
        <w:rPr>
          <w:szCs w:val="26"/>
        </w:rPr>
        <w:t>+</w:t>
      </w:r>
      <w:r w:rsidR="002F1D0C" w:rsidRPr="00B82522">
        <w:rPr>
          <w:szCs w:val="26"/>
        </w:rPr>
        <w:t>Tổng sản lượng xăng dầu bán</w:t>
      </w:r>
      <w:r w:rsidR="00D8631D" w:rsidRPr="00B82522">
        <w:rPr>
          <w:szCs w:val="26"/>
        </w:rPr>
        <w:t>:</w:t>
      </w:r>
      <w:r w:rsidR="00F06AE9" w:rsidRPr="00E97334">
        <w:rPr>
          <w:szCs w:val="26"/>
        </w:rPr>
        <w:t>12</w:t>
      </w:r>
      <w:r w:rsidR="00D8631D" w:rsidRPr="00E97334">
        <w:rPr>
          <w:szCs w:val="26"/>
        </w:rPr>
        <w:t>,28</w:t>
      </w:r>
      <w:r w:rsidR="00305112" w:rsidRPr="00E97334">
        <w:rPr>
          <w:szCs w:val="26"/>
        </w:rPr>
        <w:t>6</w:t>
      </w:r>
      <w:r w:rsidR="00D8631D" w:rsidRPr="00E97334">
        <w:rPr>
          <w:szCs w:val="26"/>
        </w:rPr>
        <w:t xml:space="preserve"> triệu</w:t>
      </w:r>
      <w:r w:rsidR="002F1D0C" w:rsidRPr="00E97334">
        <w:rPr>
          <w:szCs w:val="26"/>
        </w:rPr>
        <w:t xml:space="preserve"> m³/tấn</w:t>
      </w:r>
      <w:r w:rsidR="00AC00EC" w:rsidRPr="00E97334">
        <w:rPr>
          <w:szCs w:val="26"/>
        </w:rPr>
        <w:t>,</w:t>
      </w:r>
      <w:r w:rsidR="002F1D0C" w:rsidRPr="00E97334">
        <w:rPr>
          <w:szCs w:val="26"/>
        </w:rPr>
        <w:t xml:space="preserve"> đạt 10</w:t>
      </w:r>
      <w:r w:rsidR="002552D9" w:rsidRPr="00E97334">
        <w:rPr>
          <w:szCs w:val="26"/>
        </w:rPr>
        <w:t>4</w:t>
      </w:r>
      <w:r w:rsidR="002F1D0C" w:rsidRPr="00E97334">
        <w:rPr>
          <w:szCs w:val="26"/>
        </w:rPr>
        <w:t>%</w:t>
      </w:r>
      <w:r w:rsidR="002F1D0C" w:rsidRPr="00B82522">
        <w:rPr>
          <w:szCs w:val="26"/>
        </w:rPr>
        <w:t xml:space="preserve"> kế hoạch năm và tăng </w:t>
      </w:r>
      <w:r w:rsidR="00D8631D" w:rsidRPr="00B82522">
        <w:rPr>
          <w:szCs w:val="26"/>
        </w:rPr>
        <w:t>7</w:t>
      </w:r>
      <w:r w:rsidR="002F1D0C" w:rsidRPr="00B82522">
        <w:rPr>
          <w:szCs w:val="26"/>
        </w:rPr>
        <w:t>% so với thực hiện năm 201</w:t>
      </w:r>
      <w:r w:rsidR="00F06AE9" w:rsidRPr="00B82522">
        <w:rPr>
          <w:szCs w:val="26"/>
        </w:rPr>
        <w:t>6</w:t>
      </w:r>
      <w:r w:rsidR="002F1D0C" w:rsidRPr="00B82522">
        <w:rPr>
          <w:szCs w:val="26"/>
        </w:rPr>
        <w:t xml:space="preserve">. </w:t>
      </w:r>
    </w:p>
    <w:p w:rsidR="002F1D0C" w:rsidRPr="00B82522" w:rsidRDefault="00AC0B4F" w:rsidP="00504227">
      <w:pPr>
        <w:spacing w:after="0"/>
        <w:ind w:firstLine="720"/>
        <w:jc w:val="both"/>
        <w:rPr>
          <w:szCs w:val="26"/>
        </w:rPr>
      </w:pPr>
      <w:r w:rsidRPr="00B82522">
        <w:rPr>
          <w:szCs w:val="26"/>
        </w:rPr>
        <w:t>+</w:t>
      </w:r>
      <w:r w:rsidR="00CF5E7C" w:rsidRPr="00B82522">
        <w:rPr>
          <w:szCs w:val="26"/>
        </w:rPr>
        <w:t>Tổng d</w:t>
      </w:r>
      <w:r w:rsidR="002F1D0C" w:rsidRPr="00B82522">
        <w:rPr>
          <w:szCs w:val="26"/>
        </w:rPr>
        <w:t>oanh thu thuần hợp nhất</w:t>
      </w:r>
      <w:r w:rsidR="00CF5E7C" w:rsidRPr="00B82522">
        <w:rPr>
          <w:szCs w:val="26"/>
        </w:rPr>
        <w:t>:</w:t>
      </w:r>
      <w:r w:rsidR="00667325" w:rsidRPr="00B82522">
        <w:rPr>
          <w:szCs w:val="26"/>
        </w:rPr>
        <w:t>1</w:t>
      </w:r>
      <w:r w:rsidR="00E32756" w:rsidRPr="00B82522">
        <w:rPr>
          <w:szCs w:val="26"/>
        </w:rPr>
        <w:t>5</w:t>
      </w:r>
      <w:r w:rsidR="000522FD" w:rsidRPr="00B82522">
        <w:rPr>
          <w:szCs w:val="26"/>
        </w:rPr>
        <w:t>3</w:t>
      </w:r>
      <w:r w:rsidR="00667325" w:rsidRPr="00B82522">
        <w:rPr>
          <w:szCs w:val="26"/>
        </w:rPr>
        <w:t>.</w:t>
      </w:r>
      <w:r w:rsidR="00CF5E7C" w:rsidRPr="00B82522">
        <w:rPr>
          <w:szCs w:val="26"/>
        </w:rPr>
        <w:t>6</w:t>
      </w:r>
      <w:r w:rsidR="000522FD" w:rsidRPr="00B82522">
        <w:rPr>
          <w:szCs w:val="26"/>
        </w:rPr>
        <w:t>97</w:t>
      </w:r>
      <w:r w:rsidR="002F1D0C" w:rsidRPr="00B82522">
        <w:rPr>
          <w:szCs w:val="26"/>
        </w:rPr>
        <w:t xml:space="preserve"> tỷ đồng</w:t>
      </w:r>
      <w:r w:rsidR="00F63837" w:rsidRPr="00B82522">
        <w:rPr>
          <w:szCs w:val="26"/>
        </w:rPr>
        <w:t>,</w:t>
      </w:r>
      <w:r w:rsidR="002F1D0C" w:rsidRPr="00B82522">
        <w:rPr>
          <w:szCs w:val="26"/>
        </w:rPr>
        <w:t xml:space="preserve"> đạt </w:t>
      </w:r>
      <w:r w:rsidR="00E32756" w:rsidRPr="00B82522">
        <w:rPr>
          <w:szCs w:val="26"/>
        </w:rPr>
        <w:t>10</w:t>
      </w:r>
      <w:r w:rsidR="000522FD" w:rsidRPr="00B82522">
        <w:rPr>
          <w:szCs w:val="26"/>
        </w:rPr>
        <w:t>7</w:t>
      </w:r>
      <w:r w:rsidR="002F1D0C" w:rsidRPr="00B82522">
        <w:rPr>
          <w:szCs w:val="26"/>
        </w:rPr>
        <w:t xml:space="preserve">% </w:t>
      </w:r>
      <w:r w:rsidR="0085154A" w:rsidRPr="00B82522">
        <w:rPr>
          <w:szCs w:val="26"/>
        </w:rPr>
        <w:t>kế hoạch năm</w:t>
      </w:r>
      <w:r w:rsidR="002F1D0C" w:rsidRPr="00B82522">
        <w:rPr>
          <w:szCs w:val="26"/>
        </w:rPr>
        <w:t>,</w:t>
      </w:r>
      <w:r w:rsidR="001C79CB">
        <w:rPr>
          <w:szCs w:val="26"/>
        </w:rPr>
        <w:t xml:space="preserve"> </w:t>
      </w:r>
      <w:r w:rsidR="00E32756" w:rsidRPr="00B82522">
        <w:rPr>
          <w:szCs w:val="26"/>
        </w:rPr>
        <w:t>tăng2</w:t>
      </w:r>
      <w:r w:rsidR="000522FD" w:rsidRPr="00B82522">
        <w:rPr>
          <w:szCs w:val="26"/>
        </w:rPr>
        <w:t>5</w:t>
      </w:r>
      <w:r w:rsidR="002F1D0C" w:rsidRPr="00B82522">
        <w:rPr>
          <w:szCs w:val="26"/>
        </w:rPr>
        <w:t>% so vớ</w:t>
      </w:r>
      <w:r w:rsidR="00667325" w:rsidRPr="00B82522">
        <w:rPr>
          <w:szCs w:val="26"/>
        </w:rPr>
        <w:t xml:space="preserve">i </w:t>
      </w:r>
      <w:r w:rsidR="0085154A" w:rsidRPr="00B82522">
        <w:rPr>
          <w:szCs w:val="26"/>
        </w:rPr>
        <w:t xml:space="preserve">thực hiện </w:t>
      </w:r>
      <w:r w:rsidR="00667325" w:rsidRPr="00B82522">
        <w:rPr>
          <w:szCs w:val="26"/>
        </w:rPr>
        <w:t>năm 201</w:t>
      </w:r>
      <w:r w:rsidR="00E32756" w:rsidRPr="00B82522">
        <w:rPr>
          <w:szCs w:val="26"/>
        </w:rPr>
        <w:t>6</w:t>
      </w:r>
      <w:r w:rsidR="00667325" w:rsidRPr="00B82522">
        <w:rPr>
          <w:szCs w:val="26"/>
        </w:rPr>
        <w:t xml:space="preserve"> do giá xăng dầ</w:t>
      </w:r>
      <w:r w:rsidR="00E32756" w:rsidRPr="00B82522">
        <w:rPr>
          <w:szCs w:val="26"/>
        </w:rPr>
        <w:t>u tăng.</w:t>
      </w:r>
    </w:p>
    <w:p w:rsidR="002F1D0C" w:rsidRPr="00B82522" w:rsidRDefault="00AC0B4F" w:rsidP="00504227">
      <w:pPr>
        <w:spacing w:after="0"/>
        <w:ind w:firstLine="720"/>
        <w:jc w:val="both"/>
        <w:rPr>
          <w:szCs w:val="26"/>
        </w:rPr>
      </w:pPr>
      <w:r w:rsidRPr="00B82522">
        <w:rPr>
          <w:szCs w:val="26"/>
        </w:rPr>
        <w:t>+</w:t>
      </w:r>
      <w:r w:rsidR="00CF5E7C" w:rsidRPr="00B82522">
        <w:rPr>
          <w:szCs w:val="26"/>
        </w:rPr>
        <w:t>Tổng l</w:t>
      </w:r>
      <w:r w:rsidR="002F1D0C" w:rsidRPr="00B82522">
        <w:rPr>
          <w:szCs w:val="26"/>
        </w:rPr>
        <w:t>ợi nhuận trước thuế hợp nhất</w:t>
      </w:r>
      <w:r w:rsidR="00CF5E7C" w:rsidRPr="00B82522">
        <w:rPr>
          <w:szCs w:val="26"/>
        </w:rPr>
        <w:t>:</w:t>
      </w:r>
      <w:r w:rsidR="00E32756" w:rsidRPr="00B82522">
        <w:rPr>
          <w:szCs w:val="26"/>
        </w:rPr>
        <w:t>4.</w:t>
      </w:r>
      <w:r w:rsidR="00CF5E7C" w:rsidRPr="00B82522">
        <w:rPr>
          <w:szCs w:val="26"/>
        </w:rPr>
        <w:t>7</w:t>
      </w:r>
      <w:r w:rsidR="000522FD" w:rsidRPr="00B82522">
        <w:rPr>
          <w:szCs w:val="26"/>
        </w:rPr>
        <w:t>85</w:t>
      </w:r>
      <w:r w:rsidR="002F1D0C" w:rsidRPr="00B82522">
        <w:rPr>
          <w:szCs w:val="26"/>
        </w:rPr>
        <w:t xml:space="preserve"> tỷ đồng</w:t>
      </w:r>
      <w:r w:rsidR="0085154A" w:rsidRPr="00B82522">
        <w:rPr>
          <w:szCs w:val="26"/>
        </w:rPr>
        <w:t>,</w:t>
      </w:r>
      <w:r w:rsidR="002F1D0C" w:rsidRPr="00B82522">
        <w:rPr>
          <w:szCs w:val="26"/>
        </w:rPr>
        <w:t xml:space="preserve"> đạ</w:t>
      </w:r>
      <w:r w:rsidR="00667325" w:rsidRPr="00B82522">
        <w:rPr>
          <w:szCs w:val="26"/>
        </w:rPr>
        <w:t xml:space="preserve">t </w:t>
      </w:r>
      <w:r w:rsidR="000522FD" w:rsidRPr="00B82522">
        <w:rPr>
          <w:szCs w:val="26"/>
        </w:rPr>
        <w:t>102</w:t>
      </w:r>
      <w:r w:rsidR="002F1D0C" w:rsidRPr="00B82522">
        <w:rPr>
          <w:szCs w:val="26"/>
        </w:rPr>
        <w:t xml:space="preserve">% </w:t>
      </w:r>
      <w:r w:rsidR="0085154A" w:rsidRPr="00B82522">
        <w:rPr>
          <w:szCs w:val="26"/>
        </w:rPr>
        <w:t>kế hoạch năm</w:t>
      </w:r>
      <w:r w:rsidR="002F1D0C" w:rsidRPr="00B82522">
        <w:rPr>
          <w:szCs w:val="26"/>
        </w:rPr>
        <w:t xml:space="preserve">, </w:t>
      </w:r>
      <w:r w:rsidR="00E32756" w:rsidRPr="00B82522">
        <w:rPr>
          <w:szCs w:val="26"/>
        </w:rPr>
        <w:t>bằng</w:t>
      </w:r>
      <w:r w:rsidR="000522FD" w:rsidRPr="00B82522">
        <w:rPr>
          <w:szCs w:val="26"/>
        </w:rPr>
        <w:t>76</w:t>
      </w:r>
      <w:r w:rsidR="002F1D0C" w:rsidRPr="00B82522">
        <w:rPr>
          <w:szCs w:val="26"/>
        </w:rPr>
        <w:t xml:space="preserve">% so với </w:t>
      </w:r>
      <w:r w:rsidR="0085154A" w:rsidRPr="00B82522">
        <w:rPr>
          <w:szCs w:val="26"/>
        </w:rPr>
        <w:t>thực hiệ</w:t>
      </w:r>
      <w:r w:rsidR="00E32756" w:rsidRPr="00B82522">
        <w:rPr>
          <w:szCs w:val="26"/>
        </w:rPr>
        <w:t>n năm 2016</w:t>
      </w:r>
      <w:r w:rsidR="002F1D0C" w:rsidRPr="00B82522">
        <w:rPr>
          <w:szCs w:val="26"/>
        </w:rPr>
        <w:t>.</w:t>
      </w:r>
    </w:p>
    <w:p w:rsidR="002F1D0C" w:rsidRPr="00B82522" w:rsidRDefault="00AC0B4F" w:rsidP="00504227">
      <w:pPr>
        <w:spacing w:after="0"/>
        <w:ind w:firstLine="720"/>
        <w:jc w:val="both"/>
        <w:rPr>
          <w:szCs w:val="26"/>
        </w:rPr>
      </w:pPr>
      <w:r w:rsidRPr="00B82522">
        <w:rPr>
          <w:szCs w:val="26"/>
        </w:rPr>
        <w:t>+</w:t>
      </w:r>
      <w:r w:rsidR="00CF5E7C" w:rsidRPr="00B82522">
        <w:rPr>
          <w:szCs w:val="26"/>
        </w:rPr>
        <w:t>Tổng l</w:t>
      </w:r>
      <w:r w:rsidR="002F1D0C" w:rsidRPr="00B82522">
        <w:rPr>
          <w:szCs w:val="26"/>
        </w:rPr>
        <w:t>ợi nhuận sau thuế hợp nhấ</w:t>
      </w:r>
      <w:r w:rsidR="0014739B" w:rsidRPr="00B82522">
        <w:rPr>
          <w:szCs w:val="26"/>
        </w:rPr>
        <w:t>t</w:t>
      </w:r>
      <w:r w:rsidR="00CF5E7C" w:rsidRPr="00B82522">
        <w:rPr>
          <w:szCs w:val="26"/>
        </w:rPr>
        <w:t>:</w:t>
      </w:r>
      <w:r w:rsidR="000522FD" w:rsidRPr="00B82522">
        <w:rPr>
          <w:szCs w:val="26"/>
        </w:rPr>
        <w:t>3.912</w:t>
      </w:r>
      <w:r w:rsidR="002F1D0C" w:rsidRPr="00B82522">
        <w:rPr>
          <w:szCs w:val="26"/>
        </w:rPr>
        <w:t xml:space="preserve"> tỷ đồng</w:t>
      </w:r>
      <w:r w:rsidR="0085154A" w:rsidRPr="00B82522">
        <w:rPr>
          <w:szCs w:val="26"/>
        </w:rPr>
        <w:t>,</w:t>
      </w:r>
      <w:r w:rsidR="002F1D0C" w:rsidRPr="00B82522">
        <w:rPr>
          <w:szCs w:val="26"/>
        </w:rPr>
        <w:t xml:space="preserve"> trong đó</w:t>
      </w:r>
      <w:r w:rsidR="0085154A" w:rsidRPr="00B82522">
        <w:rPr>
          <w:szCs w:val="26"/>
        </w:rPr>
        <w:t>:</w:t>
      </w:r>
      <w:r w:rsidR="001C79CB">
        <w:rPr>
          <w:szCs w:val="26"/>
        </w:rPr>
        <w:t xml:space="preserve"> </w:t>
      </w:r>
      <w:r w:rsidR="0085154A" w:rsidRPr="00B82522">
        <w:rPr>
          <w:szCs w:val="26"/>
        </w:rPr>
        <w:t>L</w:t>
      </w:r>
      <w:r w:rsidR="002F1D0C" w:rsidRPr="00B82522">
        <w:rPr>
          <w:szCs w:val="26"/>
        </w:rPr>
        <w:t xml:space="preserve">ợi </w:t>
      </w:r>
      <w:r w:rsidR="0085154A" w:rsidRPr="00B82522">
        <w:rPr>
          <w:szCs w:val="26"/>
        </w:rPr>
        <w:t>ích của</w:t>
      </w:r>
      <w:r w:rsidR="002F1D0C" w:rsidRPr="00B82522">
        <w:rPr>
          <w:szCs w:val="26"/>
        </w:rPr>
        <w:t xml:space="preserve"> Tập đoàn l</w:t>
      </w:r>
      <w:r w:rsidR="0085154A" w:rsidRPr="00B82522">
        <w:rPr>
          <w:szCs w:val="26"/>
        </w:rPr>
        <w:t>à</w:t>
      </w:r>
      <w:r w:rsidR="001C79CB">
        <w:rPr>
          <w:szCs w:val="26"/>
        </w:rPr>
        <w:t xml:space="preserve"> </w:t>
      </w:r>
      <w:r w:rsidR="001A65D3" w:rsidRPr="00B82522">
        <w:rPr>
          <w:szCs w:val="26"/>
        </w:rPr>
        <w:t>3</w:t>
      </w:r>
      <w:r w:rsidR="000522FD" w:rsidRPr="00B82522">
        <w:rPr>
          <w:szCs w:val="26"/>
        </w:rPr>
        <w:t>.468</w:t>
      </w:r>
      <w:r w:rsidR="002F1D0C" w:rsidRPr="00B82522">
        <w:rPr>
          <w:szCs w:val="26"/>
        </w:rPr>
        <w:t xml:space="preserve"> tỷ đồng (Lãi cơ bản trên 1 cổ phiếu </w:t>
      </w:r>
      <w:r w:rsidR="0085154A" w:rsidRPr="00B82522">
        <w:rPr>
          <w:szCs w:val="26"/>
        </w:rPr>
        <w:t xml:space="preserve">là </w:t>
      </w:r>
      <w:r w:rsidR="000522FD" w:rsidRPr="00B82522">
        <w:rPr>
          <w:szCs w:val="26"/>
        </w:rPr>
        <w:t xml:space="preserve">3.013 </w:t>
      </w:r>
      <w:r w:rsidR="002F1D0C" w:rsidRPr="00B82522">
        <w:rPr>
          <w:szCs w:val="26"/>
        </w:rPr>
        <w:t xml:space="preserve">đồng), </w:t>
      </w:r>
      <w:r w:rsidR="0085154A" w:rsidRPr="00B82522">
        <w:rPr>
          <w:szCs w:val="26"/>
        </w:rPr>
        <w:t xml:space="preserve">lợi ích của </w:t>
      </w:r>
      <w:r w:rsidR="002F1D0C" w:rsidRPr="00B82522">
        <w:rPr>
          <w:szCs w:val="26"/>
        </w:rPr>
        <w:t xml:space="preserve">cổ đông thiểu số </w:t>
      </w:r>
      <w:r w:rsidR="0085154A" w:rsidRPr="00B82522">
        <w:rPr>
          <w:szCs w:val="26"/>
        </w:rPr>
        <w:t xml:space="preserve">là </w:t>
      </w:r>
      <w:r w:rsidR="000522FD" w:rsidRPr="00B82522">
        <w:rPr>
          <w:szCs w:val="26"/>
        </w:rPr>
        <w:t>444</w:t>
      </w:r>
      <w:r w:rsidR="002F1D0C" w:rsidRPr="00B82522">
        <w:rPr>
          <w:szCs w:val="26"/>
        </w:rPr>
        <w:t xml:space="preserve"> tỷ đồng.</w:t>
      </w:r>
      <w:r w:rsidRPr="00B82522">
        <w:rPr>
          <w:szCs w:val="26"/>
        </w:rPr>
        <w:t xml:space="preserve"> Tập đoàn đủ nguồn lực để chi trả cổ tức cho cổ đông cao hơn so với </w:t>
      </w:r>
      <w:r w:rsidR="008A59D9">
        <w:rPr>
          <w:szCs w:val="26"/>
        </w:rPr>
        <w:t>số</w:t>
      </w:r>
      <w:r w:rsidRPr="00B82522">
        <w:rPr>
          <w:szCs w:val="26"/>
        </w:rPr>
        <w:t xml:space="preserve"> kế hoạch </w:t>
      </w:r>
      <w:r w:rsidR="00E32756" w:rsidRPr="00B82522">
        <w:rPr>
          <w:szCs w:val="26"/>
        </w:rPr>
        <w:t>12</w:t>
      </w:r>
      <w:r w:rsidRPr="00B82522">
        <w:rPr>
          <w:szCs w:val="26"/>
        </w:rPr>
        <w:t xml:space="preserve">%. </w:t>
      </w:r>
    </w:p>
    <w:p w:rsidR="0064317D" w:rsidRPr="00B82522" w:rsidRDefault="0064317D" w:rsidP="00023654">
      <w:pPr>
        <w:spacing w:after="0"/>
        <w:ind w:firstLine="720"/>
        <w:jc w:val="both"/>
        <w:rPr>
          <w:szCs w:val="26"/>
        </w:rPr>
      </w:pPr>
      <w:r w:rsidRPr="00B82522">
        <w:rPr>
          <w:szCs w:val="26"/>
        </w:rPr>
        <w:t xml:space="preserve">- </w:t>
      </w:r>
      <w:r w:rsidR="002D5EED" w:rsidRPr="00B82522">
        <w:rPr>
          <w:szCs w:val="26"/>
        </w:rPr>
        <w:t>Thực hiện s</w:t>
      </w:r>
      <w:r w:rsidRPr="00B82522">
        <w:rPr>
          <w:szCs w:val="26"/>
        </w:rPr>
        <w:t>ửa đổi</w:t>
      </w:r>
      <w:r w:rsidR="002D5EED" w:rsidRPr="00B82522">
        <w:rPr>
          <w:szCs w:val="26"/>
        </w:rPr>
        <w:t>, bổ sung</w:t>
      </w:r>
      <w:r w:rsidR="00390A53">
        <w:rPr>
          <w:szCs w:val="26"/>
        </w:rPr>
        <w:t>,</w:t>
      </w:r>
      <w:r w:rsidR="002D5EED" w:rsidRPr="00B82522">
        <w:rPr>
          <w:szCs w:val="26"/>
        </w:rPr>
        <w:t xml:space="preserve"> hoàn thiện </w:t>
      </w:r>
      <w:r w:rsidRPr="00B82522">
        <w:rPr>
          <w:szCs w:val="26"/>
        </w:rPr>
        <w:t>Điều lệ</w:t>
      </w:r>
      <w:r w:rsidR="003D427D" w:rsidRPr="00B82522">
        <w:rPr>
          <w:szCs w:val="26"/>
        </w:rPr>
        <w:t>, các quy chế, quy định, quy trình quản lý…</w:t>
      </w:r>
      <w:r w:rsidR="002D5EED" w:rsidRPr="00B82522">
        <w:rPr>
          <w:szCs w:val="26"/>
        </w:rPr>
        <w:t xml:space="preserve">cho </w:t>
      </w:r>
      <w:r w:rsidRPr="00B82522">
        <w:rPr>
          <w:szCs w:val="26"/>
        </w:rPr>
        <w:t xml:space="preserve">phù hợp với các quy định </w:t>
      </w:r>
      <w:r w:rsidR="002D5EED" w:rsidRPr="00B82522">
        <w:rPr>
          <w:szCs w:val="26"/>
        </w:rPr>
        <w:t xml:space="preserve">của </w:t>
      </w:r>
      <w:r w:rsidRPr="00B82522">
        <w:rPr>
          <w:szCs w:val="26"/>
        </w:rPr>
        <w:t xml:space="preserve">pháp luật và tình hình </w:t>
      </w:r>
      <w:r w:rsidR="002D5EED" w:rsidRPr="00B82522">
        <w:rPr>
          <w:szCs w:val="26"/>
        </w:rPr>
        <w:t>t</w:t>
      </w:r>
      <w:r w:rsidRPr="00B82522">
        <w:rPr>
          <w:szCs w:val="26"/>
        </w:rPr>
        <w:t>h</w:t>
      </w:r>
      <w:r w:rsidR="002D5EED" w:rsidRPr="00B82522">
        <w:rPr>
          <w:szCs w:val="26"/>
        </w:rPr>
        <w:t>ực tiễn của Tập đoàn</w:t>
      </w:r>
      <w:r w:rsidRPr="00B82522">
        <w:rPr>
          <w:szCs w:val="26"/>
        </w:rPr>
        <w:t>.</w:t>
      </w:r>
    </w:p>
    <w:p w:rsidR="0064317D" w:rsidRPr="00B82522" w:rsidRDefault="0064317D" w:rsidP="00023654">
      <w:pPr>
        <w:spacing w:after="0"/>
        <w:ind w:firstLine="720"/>
        <w:jc w:val="both"/>
        <w:rPr>
          <w:szCs w:val="26"/>
        </w:rPr>
      </w:pPr>
      <w:r w:rsidRPr="00B82522">
        <w:rPr>
          <w:szCs w:val="26"/>
        </w:rPr>
        <w:t xml:space="preserve">- </w:t>
      </w:r>
      <w:r w:rsidR="00CF5E7C" w:rsidRPr="00B82522">
        <w:rPr>
          <w:szCs w:val="26"/>
        </w:rPr>
        <w:t>Tập đoàn</w:t>
      </w:r>
      <w:r w:rsidR="007021AF" w:rsidRPr="00B82522">
        <w:rPr>
          <w:szCs w:val="26"/>
        </w:rPr>
        <w:t xml:space="preserve"> chính thức niêm yết cổ phiếu </w:t>
      </w:r>
      <w:r w:rsidR="002A031B">
        <w:rPr>
          <w:szCs w:val="26"/>
        </w:rPr>
        <w:t xml:space="preserve">PLX </w:t>
      </w:r>
      <w:r w:rsidR="007021AF" w:rsidRPr="00B82522">
        <w:rPr>
          <w:szCs w:val="26"/>
        </w:rPr>
        <w:t>trên sàn giao dịch chứng khoán Thành phố Hồ Chí Minh</w:t>
      </w:r>
      <w:r w:rsidR="00630145" w:rsidRPr="00B82522">
        <w:rPr>
          <w:szCs w:val="26"/>
        </w:rPr>
        <w:t xml:space="preserve"> ngày 21/4/2017</w:t>
      </w:r>
      <w:r w:rsidR="007021AF" w:rsidRPr="00B82522">
        <w:rPr>
          <w:szCs w:val="26"/>
        </w:rPr>
        <w:t xml:space="preserve">, vào top 50 </w:t>
      </w:r>
      <w:r w:rsidR="00586B2F" w:rsidRPr="00B82522">
        <w:rPr>
          <w:szCs w:val="26"/>
        </w:rPr>
        <w:t>doanh ng</w:t>
      </w:r>
      <w:r w:rsidR="00390A53">
        <w:rPr>
          <w:szCs w:val="26"/>
        </w:rPr>
        <w:t>h</w:t>
      </w:r>
      <w:r w:rsidR="00586B2F" w:rsidRPr="00B82522">
        <w:rPr>
          <w:szCs w:val="26"/>
        </w:rPr>
        <w:t>iệp</w:t>
      </w:r>
      <w:r w:rsidR="007021AF" w:rsidRPr="00B82522">
        <w:rPr>
          <w:szCs w:val="26"/>
        </w:rPr>
        <w:t xml:space="preserve"> niêm yết tốt nhất Việt Nam năm 2017, được thị trường đánh giá tích cực.</w:t>
      </w:r>
    </w:p>
    <w:p w:rsidR="007021AF" w:rsidRPr="00B82522" w:rsidRDefault="007021AF" w:rsidP="00023654">
      <w:pPr>
        <w:spacing w:after="0"/>
        <w:ind w:firstLine="720"/>
        <w:jc w:val="both"/>
        <w:rPr>
          <w:spacing w:val="-2"/>
          <w:szCs w:val="26"/>
        </w:rPr>
      </w:pPr>
      <w:r w:rsidRPr="00B82522">
        <w:rPr>
          <w:spacing w:val="-2"/>
          <w:szCs w:val="26"/>
        </w:rPr>
        <w:t xml:space="preserve">- Công tác đầu tư phát triển </w:t>
      </w:r>
      <w:r w:rsidR="00630145" w:rsidRPr="00B82522">
        <w:rPr>
          <w:spacing w:val="-2"/>
          <w:szCs w:val="26"/>
        </w:rPr>
        <w:t>CHXD</w:t>
      </w:r>
      <w:r w:rsidRPr="00B82522">
        <w:rPr>
          <w:spacing w:val="-2"/>
          <w:szCs w:val="26"/>
        </w:rPr>
        <w:t xml:space="preserve"> đạt kết quả tốt</w:t>
      </w:r>
      <w:r w:rsidR="00586B2F" w:rsidRPr="00B82522">
        <w:rPr>
          <w:spacing w:val="-2"/>
          <w:szCs w:val="26"/>
        </w:rPr>
        <w:t xml:space="preserve">: </w:t>
      </w:r>
      <w:r w:rsidR="007B2806" w:rsidRPr="00B82522">
        <w:rPr>
          <w:spacing w:val="-2"/>
          <w:szCs w:val="26"/>
        </w:rPr>
        <w:t>Tính đến 31/12/2017 đã đ</w:t>
      </w:r>
      <w:r w:rsidRPr="00B82522">
        <w:rPr>
          <w:spacing w:val="-2"/>
          <w:szCs w:val="26"/>
        </w:rPr>
        <w:t xml:space="preserve">ầu tư mới được </w:t>
      </w:r>
      <w:r w:rsidRPr="0091262F">
        <w:rPr>
          <w:spacing w:val="-2"/>
          <w:szCs w:val="26"/>
        </w:rPr>
        <w:t>12</w:t>
      </w:r>
      <w:r w:rsidR="00305112" w:rsidRPr="0091262F">
        <w:rPr>
          <w:spacing w:val="-2"/>
          <w:szCs w:val="26"/>
        </w:rPr>
        <w:t>3</w:t>
      </w:r>
      <w:r w:rsidRPr="0091262F">
        <w:rPr>
          <w:spacing w:val="-2"/>
          <w:szCs w:val="26"/>
        </w:rPr>
        <w:t xml:space="preserve"> CHXD</w:t>
      </w:r>
      <w:r w:rsidR="00A15139">
        <w:rPr>
          <w:spacing w:val="-2"/>
          <w:szCs w:val="26"/>
        </w:rPr>
        <w:t>,</w:t>
      </w:r>
      <w:r w:rsidR="007B2806" w:rsidRPr="00B82522">
        <w:rPr>
          <w:spacing w:val="-2"/>
          <w:szCs w:val="26"/>
        </w:rPr>
        <w:t xml:space="preserve">đưa vào sử dụng </w:t>
      </w:r>
      <w:r w:rsidR="007B2806" w:rsidRPr="0091262F">
        <w:rPr>
          <w:spacing w:val="-2"/>
          <w:szCs w:val="26"/>
        </w:rPr>
        <w:t>8</w:t>
      </w:r>
      <w:r w:rsidR="00305112" w:rsidRPr="0091262F">
        <w:rPr>
          <w:spacing w:val="-2"/>
          <w:szCs w:val="26"/>
        </w:rPr>
        <w:t>4</w:t>
      </w:r>
      <w:r w:rsidR="007B2806" w:rsidRPr="0091262F">
        <w:rPr>
          <w:spacing w:val="-2"/>
          <w:szCs w:val="26"/>
        </w:rPr>
        <w:t xml:space="preserve"> CHXD</w:t>
      </w:r>
      <w:r w:rsidR="00630145" w:rsidRPr="00B82522">
        <w:rPr>
          <w:spacing w:val="-2"/>
          <w:szCs w:val="26"/>
        </w:rPr>
        <w:t xml:space="preserve">- </w:t>
      </w:r>
      <w:r w:rsidR="007B2806" w:rsidRPr="00B82522">
        <w:rPr>
          <w:spacing w:val="-2"/>
          <w:szCs w:val="26"/>
        </w:rPr>
        <w:t xml:space="preserve">vượt </w:t>
      </w:r>
      <w:r w:rsidR="007B2806" w:rsidRPr="0091262F">
        <w:rPr>
          <w:spacing w:val="-2"/>
          <w:szCs w:val="26"/>
        </w:rPr>
        <w:t>2</w:t>
      </w:r>
      <w:r w:rsidR="00305112" w:rsidRPr="0091262F">
        <w:rPr>
          <w:spacing w:val="-2"/>
          <w:szCs w:val="26"/>
        </w:rPr>
        <w:t>4</w:t>
      </w:r>
      <w:r w:rsidR="007B2806" w:rsidRPr="0091262F">
        <w:rPr>
          <w:spacing w:val="-2"/>
          <w:szCs w:val="26"/>
        </w:rPr>
        <w:t xml:space="preserve"> CH</w:t>
      </w:r>
      <w:r w:rsidR="00630145" w:rsidRPr="0091262F">
        <w:rPr>
          <w:spacing w:val="-2"/>
          <w:szCs w:val="26"/>
        </w:rPr>
        <w:t>XD</w:t>
      </w:r>
      <w:r w:rsidR="001C79CB">
        <w:rPr>
          <w:spacing w:val="-2"/>
          <w:szCs w:val="26"/>
        </w:rPr>
        <w:t xml:space="preserve"> </w:t>
      </w:r>
      <w:r w:rsidR="007B2806" w:rsidRPr="00B82522">
        <w:rPr>
          <w:spacing w:val="-2"/>
          <w:szCs w:val="26"/>
        </w:rPr>
        <w:t xml:space="preserve">so với </w:t>
      </w:r>
      <w:r w:rsidR="00D71459" w:rsidRPr="00B82522">
        <w:rPr>
          <w:spacing w:val="-2"/>
          <w:szCs w:val="26"/>
        </w:rPr>
        <w:t>kế hoạch</w:t>
      </w:r>
      <w:r w:rsidR="00630145" w:rsidRPr="00B82522">
        <w:rPr>
          <w:spacing w:val="-2"/>
          <w:szCs w:val="26"/>
        </w:rPr>
        <w:t>.</w:t>
      </w:r>
    </w:p>
    <w:p w:rsidR="007B2806" w:rsidRPr="00B82522" w:rsidRDefault="007B2806" w:rsidP="00023654">
      <w:pPr>
        <w:spacing w:after="0"/>
        <w:ind w:firstLine="720"/>
        <w:jc w:val="both"/>
        <w:rPr>
          <w:szCs w:val="26"/>
        </w:rPr>
      </w:pPr>
      <w:r w:rsidRPr="00B82522">
        <w:rPr>
          <w:szCs w:val="26"/>
        </w:rPr>
        <w:t>- Tiếp tục thực hiện đề án tái cấu trúc Tập đoàn, thành lập TCTy</w:t>
      </w:r>
      <w:r w:rsidR="00630145" w:rsidRPr="00B82522">
        <w:rPr>
          <w:szCs w:val="26"/>
        </w:rPr>
        <w:t xml:space="preserve"> Dịch vụ xăng dầu Petrolimex.</w:t>
      </w:r>
    </w:p>
    <w:p w:rsidR="007B2806" w:rsidRPr="00B82522" w:rsidRDefault="007B2806" w:rsidP="00023654">
      <w:pPr>
        <w:spacing w:after="0"/>
        <w:ind w:firstLine="720"/>
        <w:jc w:val="both"/>
        <w:rPr>
          <w:spacing w:val="-4"/>
          <w:szCs w:val="26"/>
        </w:rPr>
      </w:pPr>
      <w:r w:rsidRPr="00B82522">
        <w:rPr>
          <w:spacing w:val="-4"/>
          <w:szCs w:val="26"/>
        </w:rPr>
        <w:t>- Đã kiểm tra, đánh giá những bất cập trong cơ chế</w:t>
      </w:r>
      <w:r w:rsidR="003C39E0" w:rsidRPr="00B82522">
        <w:rPr>
          <w:spacing w:val="-4"/>
          <w:szCs w:val="26"/>
        </w:rPr>
        <w:t xml:space="preserve"> giao</w:t>
      </w:r>
      <w:r w:rsidR="00266E8D" w:rsidRPr="00B82522">
        <w:rPr>
          <w:spacing w:val="-4"/>
          <w:szCs w:val="26"/>
        </w:rPr>
        <w:t>,</w:t>
      </w:r>
      <w:r w:rsidR="003C39E0" w:rsidRPr="00B82522">
        <w:rPr>
          <w:spacing w:val="-4"/>
          <w:szCs w:val="26"/>
        </w:rPr>
        <w:t xml:space="preserve"> hạch toán chi phí, hiệu quả theo lĩnh vực</w:t>
      </w:r>
      <w:r w:rsidR="000C0B5F" w:rsidRPr="00B82522">
        <w:rPr>
          <w:spacing w:val="-4"/>
          <w:szCs w:val="26"/>
        </w:rPr>
        <w:t>,</w:t>
      </w:r>
      <w:r w:rsidR="003C39E0" w:rsidRPr="00B82522">
        <w:rPr>
          <w:spacing w:val="-4"/>
          <w:szCs w:val="26"/>
        </w:rPr>
        <w:t xml:space="preserve"> phương thức kinh doanh để điều chỉnh </w:t>
      </w:r>
      <w:r w:rsidR="000C0B5F" w:rsidRPr="00B82522">
        <w:rPr>
          <w:spacing w:val="-4"/>
          <w:szCs w:val="26"/>
        </w:rPr>
        <w:t xml:space="preserve">cho </w:t>
      </w:r>
      <w:r w:rsidR="003C39E0" w:rsidRPr="00B82522">
        <w:rPr>
          <w:spacing w:val="-4"/>
          <w:szCs w:val="26"/>
        </w:rPr>
        <w:t xml:space="preserve">phù hợp </w:t>
      </w:r>
      <w:r w:rsidR="000C0B5F" w:rsidRPr="00B82522">
        <w:rPr>
          <w:spacing w:val="-4"/>
          <w:szCs w:val="26"/>
        </w:rPr>
        <w:t xml:space="preserve">hơn </w:t>
      </w:r>
      <w:r w:rsidR="003C39E0" w:rsidRPr="00B82522">
        <w:rPr>
          <w:spacing w:val="-4"/>
          <w:szCs w:val="26"/>
        </w:rPr>
        <w:t>trong năm 2018.</w:t>
      </w:r>
    </w:p>
    <w:p w:rsidR="00AA6BF8" w:rsidRPr="00B82522" w:rsidRDefault="002D23CD" w:rsidP="00AA6BF8">
      <w:pPr>
        <w:spacing w:after="0"/>
        <w:ind w:firstLine="720"/>
        <w:jc w:val="both"/>
        <w:rPr>
          <w:b/>
          <w:i/>
          <w:szCs w:val="26"/>
        </w:rPr>
      </w:pPr>
      <w:r w:rsidRPr="00B82522">
        <w:rPr>
          <w:b/>
          <w:i/>
          <w:szCs w:val="26"/>
        </w:rPr>
        <w:t>3</w:t>
      </w:r>
      <w:r w:rsidR="00FB6E94" w:rsidRPr="00B82522">
        <w:rPr>
          <w:b/>
          <w:i/>
          <w:szCs w:val="26"/>
        </w:rPr>
        <w:t>.</w:t>
      </w:r>
      <w:r w:rsidR="00990189">
        <w:rPr>
          <w:b/>
          <w:i/>
          <w:szCs w:val="26"/>
        </w:rPr>
        <w:t xml:space="preserve"> </w:t>
      </w:r>
      <w:r w:rsidR="00F85939" w:rsidRPr="00B82522">
        <w:rPr>
          <w:b/>
          <w:i/>
          <w:szCs w:val="26"/>
        </w:rPr>
        <w:t xml:space="preserve">Kết quả giám sát đối với </w:t>
      </w:r>
      <w:r w:rsidR="00CE29B3" w:rsidRPr="00B82522">
        <w:rPr>
          <w:b/>
          <w:i/>
          <w:szCs w:val="26"/>
        </w:rPr>
        <w:t>Hội đồng quản trị</w:t>
      </w:r>
      <w:r w:rsidR="00C20B83" w:rsidRPr="00B82522">
        <w:rPr>
          <w:b/>
          <w:i/>
          <w:szCs w:val="26"/>
        </w:rPr>
        <w:t xml:space="preserve"> (HĐQT) Tập đoàn</w:t>
      </w:r>
    </w:p>
    <w:p w:rsidR="004F2FB6" w:rsidRPr="00B82522" w:rsidRDefault="004F2FB6" w:rsidP="004F2FB6">
      <w:pPr>
        <w:spacing w:after="0"/>
        <w:ind w:firstLine="720"/>
        <w:jc w:val="both"/>
        <w:rPr>
          <w:i/>
          <w:szCs w:val="26"/>
        </w:rPr>
      </w:pPr>
      <w:r w:rsidRPr="00B82522">
        <w:rPr>
          <w:i/>
          <w:szCs w:val="26"/>
        </w:rPr>
        <w:t>3.1. Kết quả tổ chức họp và ban hành nghị quyết củ</w:t>
      </w:r>
      <w:r w:rsidR="00392067" w:rsidRPr="00B82522">
        <w:rPr>
          <w:i/>
          <w:szCs w:val="26"/>
        </w:rPr>
        <w:t>a HĐQT</w:t>
      </w:r>
    </w:p>
    <w:p w:rsidR="004F2FB6" w:rsidRPr="00B82522" w:rsidRDefault="004F2FB6" w:rsidP="004F2FB6">
      <w:pPr>
        <w:spacing w:after="0"/>
        <w:ind w:firstLine="720"/>
        <w:jc w:val="both"/>
        <w:rPr>
          <w:szCs w:val="26"/>
        </w:rPr>
      </w:pPr>
      <w:r w:rsidRPr="00B82522">
        <w:rPr>
          <w:szCs w:val="26"/>
        </w:rPr>
        <w:t xml:space="preserve">Năm 2017, HĐQT đã tổ chức họp 11 phiên và tổ chức lấy phiếu ý kiến các thành viên HĐQT </w:t>
      </w:r>
      <w:r w:rsidR="00A32916" w:rsidRPr="00B82522">
        <w:rPr>
          <w:szCs w:val="26"/>
        </w:rPr>
        <w:t>62</w:t>
      </w:r>
      <w:r w:rsidRPr="00B82522">
        <w:rPr>
          <w:szCs w:val="26"/>
        </w:rPr>
        <w:t xml:space="preserve"> lần. HĐQT đã ban hành 204 Nghị quyết để thực hiện chức năng chỉ đạo, định hướng hoạt động của Tập đoàn và các </w:t>
      </w:r>
      <w:r w:rsidR="00512C97" w:rsidRPr="00B82522">
        <w:rPr>
          <w:szCs w:val="26"/>
        </w:rPr>
        <w:t>doanh nghiệp</w:t>
      </w:r>
      <w:r w:rsidRPr="00B82522">
        <w:rPr>
          <w:szCs w:val="26"/>
        </w:rPr>
        <w:t xml:space="preserve"> thành viên. Trong đó</w:t>
      </w:r>
      <w:r w:rsidR="00152192" w:rsidRPr="00B82522">
        <w:rPr>
          <w:szCs w:val="26"/>
        </w:rPr>
        <w:t xml:space="preserve"> có</w:t>
      </w:r>
      <w:r w:rsidRPr="00B82522">
        <w:rPr>
          <w:szCs w:val="26"/>
        </w:rPr>
        <w:t xml:space="preserve">: </w:t>
      </w:r>
      <w:r w:rsidR="00512C97" w:rsidRPr="00B82522">
        <w:rPr>
          <w:szCs w:val="26"/>
        </w:rPr>
        <w:t>(i)</w:t>
      </w:r>
      <w:r w:rsidR="00990189">
        <w:rPr>
          <w:szCs w:val="26"/>
        </w:rPr>
        <w:t xml:space="preserve"> </w:t>
      </w:r>
      <w:r w:rsidR="00A32916" w:rsidRPr="00B82522">
        <w:rPr>
          <w:szCs w:val="26"/>
        </w:rPr>
        <w:t>155</w:t>
      </w:r>
      <w:r w:rsidRPr="00B82522">
        <w:rPr>
          <w:szCs w:val="26"/>
        </w:rPr>
        <w:t xml:space="preserve"> nghị quyết về công tác tổ chức, cán bộ, lao động, tiền lương, thi đua, khen thưởng, ĐHĐCĐ và các quy định quản trị nội bộ; </w:t>
      </w:r>
      <w:r w:rsidR="00512C97" w:rsidRPr="00B82522">
        <w:rPr>
          <w:szCs w:val="26"/>
        </w:rPr>
        <w:t xml:space="preserve">(ii) </w:t>
      </w:r>
      <w:r w:rsidR="00A32916" w:rsidRPr="00B82522">
        <w:rPr>
          <w:szCs w:val="26"/>
        </w:rPr>
        <w:t>32</w:t>
      </w:r>
      <w:r w:rsidRPr="00B82522">
        <w:rPr>
          <w:szCs w:val="26"/>
        </w:rPr>
        <w:t xml:space="preserve"> nghị quyết về công tác đầu tư, thanh lý tài sản, cơ sở vật chất kỹ thuật, liên doanh, liên kết, thoái vốn; </w:t>
      </w:r>
      <w:r w:rsidR="00512C97" w:rsidRPr="00B82522">
        <w:rPr>
          <w:szCs w:val="26"/>
        </w:rPr>
        <w:t xml:space="preserve">(iii) </w:t>
      </w:r>
      <w:r w:rsidRPr="00ED4CF5">
        <w:rPr>
          <w:szCs w:val="26"/>
        </w:rPr>
        <w:t>1</w:t>
      </w:r>
      <w:r w:rsidR="00A32916" w:rsidRPr="00ED4CF5">
        <w:rPr>
          <w:szCs w:val="26"/>
        </w:rPr>
        <w:t>7</w:t>
      </w:r>
      <w:r w:rsidR="00990189">
        <w:rPr>
          <w:szCs w:val="26"/>
        </w:rPr>
        <w:t xml:space="preserve"> </w:t>
      </w:r>
      <w:r w:rsidRPr="00B82522">
        <w:rPr>
          <w:szCs w:val="26"/>
        </w:rPr>
        <w:t xml:space="preserve">nghị quyết về công tác </w:t>
      </w:r>
      <w:r w:rsidR="00A32916" w:rsidRPr="00B82522">
        <w:rPr>
          <w:sz w:val="27"/>
          <w:szCs w:val="27"/>
        </w:rPr>
        <w:t>điều hành hoạt động SXKD</w:t>
      </w:r>
      <w:r w:rsidRPr="00B82522">
        <w:rPr>
          <w:szCs w:val="26"/>
        </w:rPr>
        <w:t xml:space="preserve">. </w:t>
      </w:r>
    </w:p>
    <w:p w:rsidR="004F2FB6" w:rsidRPr="00B82522" w:rsidRDefault="004F2FB6" w:rsidP="004F2FB6">
      <w:pPr>
        <w:spacing w:after="0"/>
        <w:ind w:firstLine="720"/>
        <w:jc w:val="both"/>
        <w:rPr>
          <w:i/>
          <w:szCs w:val="26"/>
        </w:rPr>
      </w:pPr>
      <w:r w:rsidRPr="00B82522">
        <w:rPr>
          <w:i/>
          <w:szCs w:val="26"/>
        </w:rPr>
        <w:t>3.2. Kết quả thực hiện các nhiệm vụ trọng tâm củ</w:t>
      </w:r>
      <w:r w:rsidR="00392067" w:rsidRPr="00B82522">
        <w:rPr>
          <w:i/>
          <w:szCs w:val="26"/>
        </w:rPr>
        <w:t xml:space="preserve">a HĐQT </w:t>
      </w:r>
    </w:p>
    <w:p w:rsidR="004F2FB6" w:rsidRPr="00B82522" w:rsidRDefault="004F2FB6" w:rsidP="004F2FB6">
      <w:pPr>
        <w:spacing w:after="0"/>
        <w:ind w:firstLine="720"/>
        <w:jc w:val="both"/>
        <w:rPr>
          <w:szCs w:val="26"/>
        </w:rPr>
      </w:pPr>
      <w:r w:rsidRPr="00B82522">
        <w:rPr>
          <w:szCs w:val="26"/>
        </w:rPr>
        <w:t>Năm 2017, HĐQT đã triển khai thực hiện tích cực, kịp thời, có hiệu quả các nhiệm vụ được Đ</w:t>
      </w:r>
      <w:r w:rsidR="003E5535" w:rsidRPr="00B82522">
        <w:rPr>
          <w:szCs w:val="26"/>
        </w:rPr>
        <w:t>HĐCĐ</w:t>
      </w:r>
      <w:r w:rsidRPr="00B82522">
        <w:rPr>
          <w:szCs w:val="26"/>
        </w:rPr>
        <w:t xml:space="preserve"> giao. Một số nhiệm vụ trọng tâm:</w:t>
      </w:r>
    </w:p>
    <w:p w:rsidR="004F2FB6" w:rsidRPr="00B82522" w:rsidRDefault="004F2FB6" w:rsidP="004F2FB6">
      <w:pPr>
        <w:spacing w:after="0"/>
        <w:ind w:firstLine="720"/>
        <w:jc w:val="both"/>
        <w:rPr>
          <w:szCs w:val="26"/>
        </w:rPr>
      </w:pPr>
      <w:r w:rsidRPr="00B82522">
        <w:rPr>
          <w:szCs w:val="26"/>
        </w:rPr>
        <w:t>a) Triển khai thực hiện tái cấu trúc Tập đoàn:</w:t>
      </w:r>
    </w:p>
    <w:p w:rsidR="004F2FB6" w:rsidRPr="00B82522" w:rsidRDefault="004F2FB6" w:rsidP="004F2FB6">
      <w:pPr>
        <w:spacing w:after="0"/>
        <w:ind w:firstLine="720"/>
        <w:jc w:val="both"/>
        <w:rPr>
          <w:szCs w:val="26"/>
        </w:rPr>
      </w:pPr>
      <w:r w:rsidRPr="00B82522">
        <w:rPr>
          <w:szCs w:val="26"/>
        </w:rPr>
        <w:t xml:space="preserve">- Tiếp tục thực hiện đề án tái cấu trúc Tập đoàn, ngày 20/9/2017 HĐQT ban hành </w:t>
      </w:r>
      <w:r w:rsidR="00390A53">
        <w:rPr>
          <w:szCs w:val="26"/>
        </w:rPr>
        <w:t>Q</w:t>
      </w:r>
      <w:r w:rsidRPr="00B82522">
        <w:rPr>
          <w:szCs w:val="26"/>
        </w:rPr>
        <w:t>uyết định số 515/PLX-QĐ-HĐQT thành lập T</w:t>
      </w:r>
      <w:r w:rsidR="00390A53">
        <w:rPr>
          <w:szCs w:val="26"/>
        </w:rPr>
        <w:t>CT</w:t>
      </w:r>
      <w:r w:rsidRPr="00B82522">
        <w:rPr>
          <w:szCs w:val="26"/>
        </w:rPr>
        <w:t xml:space="preserve">y </w:t>
      </w:r>
      <w:r w:rsidR="00152192" w:rsidRPr="00B82522">
        <w:rPr>
          <w:szCs w:val="26"/>
        </w:rPr>
        <w:t>D</w:t>
      </w:r>
      <w:r w:rsidRPr="00B82522">
        <w:rPr>
          <w:szCs w:val="26"/>
        </w:rPr>
        <w:t xml:space="preserve">ịch vụ </w:t>
      </w:r>
      <w:r w:rsidR="00152192" w:rsidRPr="00B82522">
        <w:rPr>
          <w:szCs w:val="26"/>
        </w:rPr>
        <w:t>x</w:t>
      </w:r>
      <w:r w:rsidRPr="00B82522">
        <w:rPr>
          <w:szCs w:val="26"/>
        </w:rPr>
        <w:t xml:space="preserve">ăng dầu </w:t>
      </w:r>
      <w:r w:rsidR="00556683" w:rsidRPr="00B82522">
        <w:rPr>
          <w:szCs w:val="26"/>
        </w:rPr>
        <w:t xml:space="preserve">Petrolimex </w:t>
      </w:r>
      <w:r w:rsidRPr="00B82522">
        <w:rPr>
          <w:szCs w:val="26"/>
        </w:rPr>
        <w:t xml:space="preserve">(PTC), TCTy </w:t>
      </w:r>
      <w:r w:rsidR="00556683" w:rsidRPr="00B82522">
        <w:rPr>
          <w:szCs w:val="26"/>
        </w:rPr>
        <w:t>h</w:t>
      </w:r>
      <w:r w:rsidRPr="00B82522">
        <w:rPr>
          <w:szCs w:val="26"/>
        </w:rPr>
        <w:t xml:space="preserve">oạt động theo mô hình CTy </w:t>
      </w:r>
      <w:r w:rsidR="00E72687">
        <w:rPr>
          <w:szCs w:val="26"/>
        </w:rPr>
        <w:t>m</w:t>
      </w:r>
      <w:r w:rsidRPr="00B82522">
        <w:rPr>
          <w:szCs w:val="26"/>
        </w:rPr>
        <w:t>ẹ- CTy con từ 01/10/2017. Hiện</w:t>
      </w:r>
      <w:r w:rsidR="00ED4CF5">
        <w:rPr>
          <w:szCs w:val="26"/>
        </w:rPr>
        <w:t>,</w:t>
      </w:r>
      <w:r w:rsidRPr="00B82522">
        <w:rPr>
          <w:szCs w:val="26"/>
        </w:rPr>
        <w:t xml:space="preserve"> HĐQT đang triển khai </w:t>
      </w:r>
      <w:r w:rsidR="00556683" w:rsidRPr="00B82522">
        <w:rPr>
          <w:szCs w:val="26"/>
        </w:rPr>
        <w:t xml:space="preserve">thực hiện </w:t>
      </w:r>
      <w:r w:rsidRPr="00B82522">
        <w:rPr>
          <w:szCs w:val="26"/>
        </w:rPr>
        <w:t xml:space="preserve">tiếp </w:t>
      </w:r>
      <w:r w:rsidR="00556683" w:rsidRPr="00B82522">
        <w:rPr>
          <w:szCs w:val="26"/>
        </w:rPr>
        <w:t>việc thành lập T</w:t>
      </w:r>
      <w:r w:rsidR="009B5A93">
        <w:rPr>
          <w:szCs w:val="26"/>
        </w:rPr>
        <w:t>CT</w:t>
      </w:r>
      <w:r w:rsidR="00556683" w:rsidRPr="00B82522">
        <w:rPr>
          <w:szCs w:val="26"/>
        </w:rPr>
        <w:t>y</w:t>
      </w:r>
      <w:r w:rsidR="008617FD">
        <w:rPr>
          <w:szCs w:val="26"/>
        </w:rPr>
        <w:t xml:space="preserve"> </w:t>
      </w:r>
      <w:r w:rsidR="00152192" w:rsidRPr="00B82522">
        <w:rPr>
          <w:szCs w:val="26"/>
        </w:rPr>
        <w:t>X</w:t>
      </w:r>
      <w:r w:rsidRPr="00B82522">
        <w:rPr>
          <w:szCs w:val="26"/>
        </w:rPr>
        <w:t>ây lắp</w:t>
      </w:r>
      <w:r w:rsidR="00556683" w:rsidRPr="00B82522">
        <w:rPr>
          <w:szCs w:val="26"/>
        </w:rPr>
        <w:t xml:space="preserve"> và </w:t>
      </w:r>
      <w:r w:rsidR="00152192" w:rsidRPr="00B82522">
        <w:rPr>
          <w:szCs w:val="26"/>
        </w:rPr>
        <w:t>T</w:t>
      </w:r>
      <w:r w:rsidR="00556683" w:rsidRPr="00B82522">
        <w:rPr>
          <w:szCs w:val="26"/>
        </w:rPr>
        <w:t>hương mại</w:t>
      </w:r>
      <w:r w:rsidR="00586B2F" w:rsidRPr="00B82522">
        <w:rPr>
          <w:szCs w:val="26"/>
        </w:rPr>
        <w:t xml:space="preserve"> Petrolimex</w:t>
      </w:r>
      <w:r w:rsidRPr="00B82522">
        <w:rPr>
          <w:szCs w:val="26"/>
        </w:rPr>
        <w:t>.</w:t>
      </w:r>
    </w:p>
    <w:p w:rsidR="004F2FB6" w:rsidRPr="00B82522" w:rsidRDefault="004F2FB6" w:rsidP="004F2FB6">
      <w:pPr>
        <w:spacing w:after="0"/>
        <w:ind w:firstLine="720"/>
        <w:jc w:val="both"/>
        <w:rPr>
          <w:szCs w:val="26"/>
        </w:rPr>
      </w:pPr>
      <w:r w:rsidRPr="00B82522">
        <w:rPr>
          <w:szCs w:val="26"/>
        </w:rPr>
        <w:t xml:space="preserve">- Hoàn thành Đề án bán cổ phần PJICO cho nhà đầu tư chiến lược nước ngoài. </w:t>
      </w:r>
    </w:p>
    <w:p w:rsidR="004F2FB6" w:rsidRPr="00B82522" w:rsidRDefault="004F2FB6" w:rsidP="004F2FB6">
      <w:pPr>
        <w:spacing w:after="0"/>
        <w:ind w:firstLine="720"/>
        <w:jc w:val="both"/>
        <w:rPr>
          <w:szCs w:val="26"/>
        </w:rPr>
      </w:pPr>
      <w:r w:rsidRPr="00B82522">
        <w:rPr>
          <w:szCs w:val="26"/>
        </w:rPr>
        <w:t xml:space="preserve">- Tiếp tục triển khai tái cấu trúc </w:t>
      </w:r>
      <w:r w:rsidR="00967154" w:rsidRPr="00B82522">
        <w:rPr>
          <w:szCs w:val="26"/>
        </w:rPr>
        <w:t>PGBank và một số doanh nghiệp thành viên</w:t>
      </w:r>
      <w:r w:rsidRPr="00B82522">
        <w:rPr>
          <w:szCs w:val="26"/>
        </w:rPr>
        <w:t xml:space="preserve">.  </w:t>
      </w:r>
    </w:p>
    <w:p w:rsidR="004F2FB6" w:rsidRPr="00B82522" w:rsidRDefault="004F2FB6" w:rsidP="004F2FB6">
      <w:pPr>
        <w:spacing w:after="0"/>
        <w:ind w:firstLine="720"/>
        <w:jc w:val="both"/>
        <w:rPr>
          <w:szCs w:val="26"/>
        </w:rPr>
      </w:pPr>
      <w:r w:rsidRPr="00B82522">
        <w:rPr>
          <w:szCs w:val="26"/>
        </w:rPr>
        <w:t>b) Rà soát, đánh giá hệ thống cơ sở vật chất kỹ thuật của Tập đoàn</w:t>
      </w:r>
      <w:r w:rsidR="00251C31">
        <w:rPr>
          <w:szCs w:val="26"/>
        </w:rPr>
        <w:t>,</w:t>
      </w:r>
      <w:r w:rsidRPr="00B82522">
        <w:rPr>
          <w:szCs w:val="26"/>
        </w:rPr>
        <w:t xml:space="preserve"> hoàn thiện quy hoạch hệ thống </w:t>
      </w:r>
      <w:r w:rsidR="009B5A93">
        <w:rPr>
          <w:szCs w:val="26"/>
        </w:rPr>
        <w:t>CSVCKT</w:t>
      </w:r>
      <w:r w:rsidRPr="00B82522">
        <w:rPr>
          <w:szCs w:val="26"/>
        </w:rPr>
        <w:t xml:space="preserve"> kinh doanh xăng dầu giai đoạn 2016-2021 và tầm nhìn đến năm 2030. Nhiệm vụ này triển khai chậm do nguyên nhân chủ quan và khách quan. Tập đoàn đã xây dựng xong báo cáo đánh giá hiện trạng, quy hoạch hệ thống </w:t>
      </w:r>
      <w:r w:rsidR="009B5A93">
        <w:rPr>
          <w:szCs w:val="26"/>
        </w:rPr>
        <w:t>CSVCKT</w:t>
      </w:r>
      <w:r w:rsidRPr="00B82522">
        <w:rPr>
          <w:szCs w:val="26"/>
        </w:rPr>
        <w:t xml:space="preserve"> kinh doanh xăng dầu làm cơ sở để triển khai các bước tiếp theo.</w:t>
      </w:r>
      <w:r w:rsidR="00152192" w:rsidRPr="00B82522">
        <w:rPr>
          <w:szCs w:val="26"/>
        </w:rPr>
        <w:t xml:space="preserve"> Hiện, đang xem xét</w:t>
      </w:r>
      <w:r w:rsidR="00E661BA" w:rsidRPr="00B82522">
        <w:rPr>
          <w:szCs w:val="26"/>
        </w:rPr>
        <w:t xml:space="preserve"> hoàn thiện,</w:t>
      </w:r>
      <w:r w:rsidR="00152192" w:rsidRPr="00B82522">
        <w:rPr>
          <w:szCs w:val="26"/>
        </w:rPr>
        <w:t xml:space="preserve"> phê duyệt để ban hành Quy chế quản lý đầu tư và xây dựng.</w:t>
      </w:r>
    </w:p>
    <w:p w:rsidR="004F2FB6" w:rsidRPr="00B82522" w:rsidRDefault="004F2FB6" w:rsidP="004F2FB6">
      <w:pPr>
        <w:spacing w:after="0"/>
        <w:ind w:firstLine="720"/>
        <w:jc w:val="both"/>
        <w:rPr>
          <w:szCs w:val="26"/>
        </w:rPr>
      </w:pPr>
      <w:r w:rsidRPr="00B82522">
        <w:rPr>
          <w:szCs w:val="26"/>
        </w:rPr>
        <w:t>c) Tổ chức và chỉ đạo thực hiện các chế độ, chính sách đối với người lao động:</w:t>
      </w:r>
    </w:p>
    <w:p w:rsidR="004F2FB6" w:rsidRPr="00B82522" w:rsidRDefault="004F2FB6" w:rsidP="004F2FB6">
      <w:pPr>
        <w:spacing w:after="0"/>
        <w:ind w:firstLine="720"/>
        <w:jc w:val="both"/>
        <w:rPr>
          <w:szCs w:val="26"/>
        </w:rPr>
      </w:pPr>
      <w:r w:rsidRPr="00B82522">
        <w:rPr>
          <w:szCs w:val="26"/>
        </w:rPr>
        <w:t xml:space="preserve">Tiếp tục chỉ đạo, triển khai </w:t>
      </w:r>
      <w:r w:rsidR="00E5773A" w:rsidRPr="00B82522">
        <w:rPr>
          <w:szCs w:val="26"/>
        </w:rPr>
        <w:t>thực hiện h</w:t>
      </w:r>
      <w:r w:rsidRPr="00B82522">
        <w:rPr>
          <w:szCs w:val="26"/>
        </w:rPr>
        <w:t>ệ thống thang lương, bảng lương, phụ cấp lương theo quy đị</w:t>
      </w:r>
      <w:r w:rsidR="00A16F09" w:rsidRPr="00B82522">
        <w:rPr>
          <w:szCs w:val="26"/>
        </w:rPr>
        <w:t>nh</w:t>
      </w:r>
      <w:r w:rsidRPr="00B82522">
        <w:rPr>
          <w:szCs w:val="26"/>
        </w:rPr>
        <w:t>, xử lý các tồn tại, hướng dẫn và thực hiện các chế độ, chính sách đối với người lao động nhằm gia tăng hiệu quả kinh doanh, nâng cao thu nhập cho người lao động.</w:t>
      </w:r>
    </w:p>
    <w:p w:rsidR="004F2FB6" w:rsidRPr="00B82522" w:rsidRDefault="004F2FB6" w:rsidP="004F2FB6">
      <w:pPr>
        <w:spacing w:after="0"/>
        <w:ind w:firstLine="720"/>
        <w:jc w:val="both"/>
        <w:rPr>
          <w:szCs w:val="26"/>
        </w:rPr>
      </w:pPr>
      <w:r w:rsidRPr="00B82522">
        <w:rPr>
          <w:szCs w:val="26"/>
        </w:rPr>
        <w:t xml:space="preserve">d) Nâng cao hiệu quả sử dụng vốn: </w:t>
      </w:r>
      <w:r w:rsidR="00A16F09" w:rsidRPr="00B82522">
        <w:rPr>
          <w:szCs w:val="26"/>
        </w:rPr>
        <w:t>Cùng</w:t>
      </w:r>
      <w:r w:rsidRPr="00B82522">
        <w:rPr>
          <w:szCs w:val="26"/>
        </w:rPr>
        <w:t xml:space="preserve"> với việc </w:t>
      </w:r>
      <w:r w:rsidR="00A16F09" w:rsidRPr="00B82522">
        <w:rPr>
          <w:szCs w:val="26"/>
        </w:rPr>
        <w:t xml:space="preserve">niêm yết cổ phiếu </w:t>
      </w:r>
      <w:r w:rsidR="00E661BA" w:rsidRPr="00B82522">
        <w:rPr>
          <w:szCs w:val="26"/>
        </w:rPr>
        <w:t xml:space="preserve">PLX </w:t>
      </w:r>
      <w:r w:rsidR="00A16F09" w:rsidRPr="00B82522">
        <w:rPr>
          <w:szCs w:val="26"/>
        </w:rPr>
        <w:t>trên sàn giao dịch chứng khoán Thành phố Hồ Chí Minh,</w:t>
      </w:r>
      <w:r w:rsidRPr="00B82522">
        <w:rPr>
          <w:szCs w:val="26"/>
        </w:rPr>
        <w:t>nâng cao công tác quản trị</w:t>
      </w:r>
      <w:r w:rsidR="00A16F09" w:rsidRPr="00B82522">
        <w:rPr>
          <w:szCs w:val="26"/>
        </w:rPr>
        <w:t xml:space="preserve"> doanh nghiệp</w:t>
      </w:r>
      <w:r w:rsidRPr="00B82522">
        <w:rPr>
          <w:szCs w:val="26"/>
        </w:rPr>
        <w:t>, tình hình tài chính của Tập đoàn đã được cải thiện tích cực. C</w:t>
      </w:r>
      <w:r w:rsidR="00967154" w:rsidRPr="00B82522">
        <w:rPr>
          <w:szCs w:val="26"/>
        </w:rPr>
        <w:t>T</w:t>
      </w:r>
      <w:r w:rsidRPr="00B82522">
        <w:rPr>
          <w:szCs w:val="26"/>
        </w:rPr>
        <w:t xml:space="preserve">y mẹ tiếp tục phát huy lợi thế về huy động vốn, mua ngoại tệ... đã góp phần </w:t>
      </w:r>
      <w:r w:rsidR="00A16F09" w:rsidRPr="00B82522">
        <w:rPr>
          <w:szCs w:val="26"/>
        </w:rPr>
        <w:t xml:space="preserve">tích cực vào việc </w:t>
      </w:r>
      <w:r w:rsidRPr="00B82522">
        <w:rPr>
          <w:szCs w:val="26"/>
        </w:rPr>
        <w:t>nâng cao hiệu quả sử dụng vốn trong toàn Tập đoàn.</w:t>
      </w:r>
    </w:p>
    <w:p w:rsidR="004F2FB6" w:rsidRPr="00B82522" w:rsidRDefault="00392067" w:rsidP="004F2FB6">
      <w:pPr>
        <w:spacing w:after="0"/>
        <w:ind w:firstLine="720"/>
        <w:jc w:val="both"/>
        <w:rPr>
          <w:i/>
          <w:szCs w:val="26"/>
        </w:rPr>
      </w:pPr>
      <w:r w:rsidRPr="00B82522">
        <w:rPr>
          <w:i/>
          <w:szCs w:val="26"/>
        </w:rPr>
        <w:t xml:space="preserve">3.3. Đánh giá chung  </w:t>
      </w:r>
    </w:p>
    <w:p w:rsidR="003C3214" w:rsidRPr="00B82522" w:rsidRDefault="003C3214" w:rsidP="003C3214">
      <w:pPr>
        <w:spacing w:after="0" w:line="288" w:lineRule="auto"/>
        <w:ind w:firstLine="720"/>
        <w:jc w:val="both"/>
        <w:rPr>
          <w:spacing w:val="-4"/>
          <w:szCs w:val="26"/>
        </w:rPr>
      </w:pPr>
      <w:r w:rsidRPr="00B82522">
        <w:rPr>
          <w:spacing w:val="-4"/>
          <w:szCs w:val="26"/>
        </w:rPr>
        <w:t xml:space="preserve"> - Nhìn chung, trong năm 2017, HĐQT Tập đoàn rất chú trọng việc đổi mới hoạt động của HĐQT: tiếp tục tổ chức họp HĐQT hàng tháng, việc chuẩn bị các tài liệu phục vụ phiên họp HĐQT, xử lý các kiến nghị, đề xuất… trong quá trình quản lý, điều hành hoạt động SXKD của Tập đoàn.</w:t>
      </w:r>
    </w:p>
    <w:p w:rsidR="004F2FB6" w:rsidRPr="00B82522" w:rsidRDefault="004F2FB6" w:rsidP="004F2FB6">
      <w:pPr>
        <w:spacing w:after="0"/>
        <w:ind w:firstLine="720"/>
        <w:jc w:val="both"/>
        <w:rPr>
          <w:szCs w:val="26"/>
        </w:rPr>
      </w:pPr>
      <w:r w:rsidRPr="00B82522">
        <w:rPr>
          <w:szCs w:val="26"/>
        </w:rPr>
        <w:t>- Hoạt động của HĐQT Tập đoàn đã đảm bảo phù hợp với các quy định của pháp luật, Nghị quyết của ĐHĐCĐ và Điều lệ Tập đoàn. Về cơ bản HĐQT Tập đoàn đã thực hiện đúng các quyền và nghĩa vụ theo Luật định.</w:t>
      </w:r>
    </w:p>
    <w:p w:rsidR="004F2FB6" w:rsidRPr="00B82522" w:rsidRDefault="004F2FB6" w:rsidP="004F2FB6">
      <w:pPr>
        <w:spacing w:after="0"/>
        <w:ind w:firstLine="720"/>
        <w:jc w:val="both"/>
        <w:rPr>
          <w:szCs w:val="26"/>
        </w:rPr>
      </w:pPr>
      <w:r w:rsidRPr="00B82522">
        <w:rPr>
          <w:szCs w:val="26"/>
        </w:rPr>
        <w:t>- Các nhiệm vụ trọng tâm trong năm 2017 đã được Chủ tịch</w:t>
      </w:r>
      <w:r w:rsidR="008617FD">
        <w:rPr>
          <w:szCs w:val="26"/>
        </w:rPr>
        <w:t xml:space="preserve"> </w:t>
      </w:r>
      <w:r w:rsidRPr="00B82522">
        <w:rPr>
          <w:szCs w:val="26"/>
        </w:rPr>
        <w:t xml:space="preserve">cùng với HĐQT </w:t>
      </w:r>
      <w:r w:rsidR="0096299C" w:rsidRPr="00B82522">
        <w:rPr>
          <w:szCs w:val="26"/>
        </w:rPr>
        <w:t xml:space="preserve">Tập đoàn </w:t>
      </w:r>
      <w:r w:rsidRPr="00B82522">
        <w:rPr>
          <w:szCs w:val="26"/>
        </w:rPr>
        <w:t xml:space="preserve">chỉ đạo quyết liệt và mang lại những kết quả </w:t>
      </w:r>
      <w:r w:rsidR="0096299C" w:rsidRPr="00B82522">
        <w:rPr>
          <w:szCs w:val="26"/>
        </w:rPr>
        <w:t xml:space="preserve">rõ nét, </w:t>
      </w:r>
      <w:r w:rsidRPr="00B82522">
        <w:rPr>
          <w:szCs w:val="26"/>
        </w:rPr>
        <w:t>tích cực.</w:t>
      </w:r>
      <w:r w:rsidR="004D5BFC">
        <w:rPr>
          <w:szCs w:val="26"/>
        </w:rPr>
        <w:t xml:space="preserve"> HĐQT Tập đoàn đã chỉ đạo nghiêm túc, kịp thời hoạt động của </w:t>
      </w:r>
      <w:r w:rsidR="004D5BFC" w:rsidRPr="009B5A93">
        <w:rPr>
          <w:szCs w:val="26"/>
        </w:rPr>
        <w:t>Tổng giám đốc</w:t>
      </w:r>
      <w:r w:rsidR="004D5BFC">
        <w:rPr>
          <w:szCs w:val="26"/>
        </w:rPr>
        <w:t>.</w:t>
      </w:r>
    </w:p>
    <w:p w:rsidR="004F2FB6" w:rsidRPr="00B82522" w:rsidRDefault="004F2FB6" w:rsidP="004F2FB6">
      <w:pPr>
        <w:spacing w:after="0"/>
        <w:ind w:firstLine="720"/>
        <w:jc w:val="both"/>
        <w:rPr>
          <w:szCs w:val="26"/>
        </w:rPr>
      </w:pPr>
      <w:r w:rsidRPr="00B82522">
        <w:rPr>
          <w:szCs w:val="26"/>
        </w:rPr>
        <w:t xml:space="preserve">- Các Nghị quyết của HĐQT Tập đoàn được ban hành </w:t>
      </w:r>
      <w:r w:rsidR="00967154" w:rsidRPr="00B82522">
        <w:rPr>
          <w:szCs w:val="26"/>
        </w:rPr>
        <w:t xml:space="preserve">đã </w:t>
      </w:r>
      <w:r w:rsidRPr="00B82522">
        <w:rPr>
          <w:szCs w:val="26"/>
        </w:rPr>
        <w:t>tuân thủ Điều lệ Tập đoàn, Nghị quyết ĐHĐCĐ</w:t>
      </w:r>
      <w:r w:rsidR="0096299C" w:rsidRPr="00B82522">
        <w:rPr>
          <w:szCs w:val="26"/>
        </w:rPr>
        <w:t xml:space="preserve"> và</w:t>
      </w:r>
      <w:r w:rsidRPr="00B82522">
        <w:rPr>
          <w:szCs w:val="26"/>
        </w:rPr>
        <w:t xml:space="preserve"> các quy định, quy chế quản trị nội bộ của Tập đoàn.</w:t>
      </w:r>
    </w:p>
    <w:p w:rsidR="00D06FA3" w:rsidRPr="00B82522" w:rsidRDefault="002D23CD" w:rsidP="009237F3">
      <w:pPr>
        <w:pStyle w:val="BodyTextIndent"/>
        <w:tabs>
          <w:tab w:val="clear" w:pos="1134"/>
        </w:tabs>
        <w:spacing w:before="0" w:line="276" w:lineRule="auto"/>
        <w:ind w:firstLine="323"/>
        <w:rPr>
          <w:b/>
          <w:i/>
          <w:color w:val="FF0000"/>
          <w:sz w:val="26"/>
          <w:szCs w:val="26"/>
        </w:rPr>
      </w:pPr>
      <w:r w:rsidRPr="00B82522">
        <w:rPr>
          <w:b/>
          <w:i/>
          <w:color w:val="404040" w:themeColor="text1" w:themeTint="BF"/>
          <w:sz w:val="26"/>
          <w:szCs w:val="26"/>
        </w:rPr>
        <w:t>4</w:t>
      </w:r>
      <w:r w:rsidR="00FE2862" w:rsidRPr="00B82522">
        <w:rPr>
          <w:b/>
          <w:i/>
          <w:color w:val="404040" w:themeColor="text1" w:themeTint="BF"/>
          <w:sz w:val="26"/>
          <w:szCs w:val="26"/>
        </w:rPr>
        <w:t>.</w:t>
      </w:r>
      <w:r w:rsidR="00F51496">
        <w:rPr>
          <w:b/>
          <w:i/>
          <w:color w:val="404040" w:themeColor="text1" w:themeTint="BF"/>
          <w:sz w:val="26"/>
          <w:szCs w:val="26"/>
        </w:rPr>
        <w:t xml:space="preserve"> </w:t>
      </w:r>
      <w:r w:rsidR="00F85939" w:rsidRPr="00B82522">
        <w:rPr>
          <w:b/>
          <w:i/>
          <w:sz w:val="26"/>
          <w:szCs w:val="26"/>
        </w:rPr>
        <w:t xml:space="preserve">Kết quả giám sát đối với </w:t>
      </w:r>
      <w:r w:rsidR="009237F3" w:rsidRPr="00B82522">
        <w:rPr>
          <w:b/>
          <w:i/>
          <w:sz w:val="26"/>
          <w:szCs w:val="26"/>
        </w:rPr>
        <w:t>Tổng g</w:t>
      </w:r>
      <w:r w:rsidR="00F85939" w:rsidRPr="00B82522">
        <w:rPr>
          <w:b/>
          <w:i/>
          <w:sz w:val="26"/>
          <w:szCs w:val="26"/>
        </w:rPr>
        <w:t xml:space="preserve">iám đốc </w:t>
      </w:r>
      <w:r w:rsidR="009237F3" w:rsidRPr="00B82522">
        <w:rPr>
          <w:b/>
          <w:i/>
          <w:sz w:val="26"/>
          <w:szCs w:val="26"/>
        </w:rPr>
        <w:t xml:space="preserve">và các cán bộ quản lý </w:t>
      </w:r>
      <w:r w:rsidR="00F85939" w:rsidRPr="00B82522">
        <w:rPr>
          <w:b/>
          <w:i/>
          <w:sz w:val="26"/>
          <w:szCs w:val="26"/>
        </w:rPr>
        <w:t>khác</w:t>
      </w:r>
    </w:p>
    <w:p w:rsidR="00712D11" w:rsidRPr="00B82522" w:rsidRDefault="003317D1" w:rsidP="009237F3">
      <w:pPr>
        <w:pStyle w:val="BodyTextIndent"/>
        <w:tabs>
          <w:tab w:val="clear" w:pos="1134"/>
        </w:tabs>
        <w:spacing w:before="0" w:line="276" w:lineRule="auto"/>
        <w:ind w:left="0" w:firstLine="720"/>
        <w:rPr>
          <w:sz w:val="26"/>
          <w:szCs w:val="26"/>
        </w:rPr>
      </w:pPr>
      <w:r w:rsidRPr="00B82522">
        <w:rPr>
          <w:sz w:val="26"/>
          <w:szCs w:val="26"/>
        </w:rPr>
        <w:t>-</w:t>
      </w:r>
      <w:r w:rsidR="00F51496">
        <w:rPr>
          <w:sz w:val="26"/>
          <w:szCs w:val="26"/>
        </w:rPr>
        <w:t xml:space="preserve"> </w:t>
      </w:r>
      <w:r w:rsidR="00712D11" w:rsidRPr="00B82522">
        <w:rPr>
          <w:sz w:val="26"/>
          <w:szCs w:val="26"/>
        </w:rPr>
        <w:t xml:space="preserve">Năm 2017 </w:t>
      </w:r>
      <w:r w:rsidR="00394037" w:rsidRPr="00B82522">
        <w:rPr>
          <w:sz w:val="26"/>
          <w:szCs w:val="26"/>
        </w:rPr>
        <w:t>Tổng giám đốc</w:t>
      </w:r>
      <w:r w:rsidR="00712D11" w:rsidRPr="00B82522">
        <w:rPr>
          <w:sz w:val="26"/>
          <w:szCs w:val="26"/>
        </w:rPr>
        <w:t xml:space="preserve"> đã </w:t>
      </w:r>
      <w:r w:rsidR="00394037" w:rsidRPr="00B82522">
        <w:rPr>
          <w:sz w:val="26"/>
          <w:szCs w:val="26"/>
        </w:rPr>
        <w:t xml:space="preserve">tăng cường chỉ đạo thực hiện </w:t>
      </w:r>
      <w:r w:rsidR="00712D11" w:rsidRPr="00B82522">
        <w:rPr>
          <w:sz w:val="26"/>
          <w:szCs w:val="26"/>
        </w:rPr>
        <w:t xml:space="preserve">các chỉ tiêu kế hoạch </w:t>
      </w:r>
      <w:r w:rsidR="003C3214" w:rsidRPr="00B82522">
        <w:rPr>
          <w:sz w:val="26"/>
          <w:szCs w:val="26"/>
        </w:rPr>
        <w:t>SXKD</w:t>
      </w:r>
      <w:r w:rsidR="00712D11" w:rsidRPr="00B82522">
        <w:rPr>
          <w:sz w:val="26"/>
          <w:szCs w:val="26"/>
        </w:rPr>
        <w:t xml:space="preserve"> trong khi các yếu tố thuận lợi về thuế nhập khẩu không còn như </w:t>
      </w:r>
      <w:r w:rsidR="007C6AF7">
        <w:rPr>
          <w:sz w:val="26"/>
          <w:szCs w:val="26"/>
        </w:rPr>
        <w:t>trước</w:t>
      </w:r>
      <w:r w:rsidR="00712D11" w:rsidRPr="00B82522">
        <w:rPr>
          <w:sz w:val="26"/>
          <w:szCs w:val="26"/>
        </w:rPr>
        <w:t>.</w:t>
      </w:r>
    </w:p>
    <w:p w:rsidR="00E11D61" w:rsidRPr="00B82522" w:rsidRDefault="00712D11" w:rsidP="009237F3">
      <w:pPr>
        <w:pStyle w:val="BodyTextIndent"/>
        <w:tabs>
          <w:tab w:val="clear" w:pos="1134"/>
        </w:tabs>
        <w:spacing w:before="0" w:line="276" w:lineRule="auto"/>
        <w:ind w:left="0" w:firstLine="720"/>
        <w:rPr>
          <w:sz w:val="26"/>
          <w:szCs w:val="26"/>
        </w:rPr>
      </w:pPr>
      <w:r w:rsidRPr="00B82522">
        <w:rPr>
          <w:sz w:val="26"/>
          <w:szCs w:val="26"/>
        </w:rPr>
        <w:t>-</w:t>
      </w:r>
      <w:r w:rsidR="00F51496">
        <w:rPr>
          <w:sz w:val="26"/>
          <w:szCs w:val="26"/>
        </w:rPr>
        <w:t xml:space="preserve"> </w:t>
      </w:r>
      <w:r w:rsidR="00A54E75" w:rsidRPr="00B82522">
        <w:rPr>
          <w:sz w:val="26"/>
          <w:szCs w:val="26"/>
        </w:rPr>
        <w:t>Về</w:t>
      </w:r>
      <w:r w:rsidR="008E1160" w:rsidRPr="00B82522">
        <w:rPr>
          <w:sz w:val="26"/>
          <w:szCs w:val="26"/>
        </w:rPr>
        <w:t xml:space="preserve"> điều hành kinh doanh</w:t>
      </w:r>
      <w:r w:rsidRPr="00B82522">
        <w:rPr>
          <w:sz w:val="26"/>
          <w:szCs w:val="26"/>
        </w:rPr>
        <w:t xml:space="preserve">, </w:t>
      </w:r>
      <w:r w:rsidR="00F50E3A" w:rsidRPr="00B82522">
        <w:rPr>
          <w:sz w:val="26"/>
          <w:szCs w:val="26"/>
        </w:rPr>
        <w:t>đ</w:t>
      </w:r>
      <w:r w:rsidRPr="00B82522">
        <w:rPr>
          <w:sz w:val="26"/>
          <w:szCs w:val="26"/>
        </w:rPr>
        <w:t>ã chỉ đạo tương đối tốt công tác tạo nguồn, bám sát diễn biến thị trường và chính sách vĩ mô của Nhà nước để có giải pháp phù hợp với từng vùng thị trường, từng đơn vị</w:t>
      </w:r>
      <w:r w:rsidR="007175DC" w:rsidRPr="00B82522">
        <w:rPr>
          <w:sz w:val="26"/>
          <w:szCs w:val="26"/>
        </w:rPr>
        <w:t>, đặc biệt với đơn</w:t>
      </w:r>
      <w:r w:rsidRPr="00B82522">
        <w:rPr>
          <w:sz w:val="26"/>
          <w:szCs w:val="26"/>
        </w:rPr>
        <w:t xml:space="preserve"> vị có sản lượng </w:t>
      </w:r>
      <w:r w:rsidR="009B5A93">
        <w:rPr>
          <w:sz w:val="26"/>
          <w:szCs w:val="26"/>
        </w:rPr>
        <w:t xml:space="preserve">bán </w:t>
      </w:r>
      <w:r w:rsidRPr="00B82522">
        <w:rPr>
          <w:sz w:val="26"/>
          <w:szCs w:val="26"/>
        </w:rPr>
        <w:t xml:space="preserve">và lợi nhuận sụt giảm; Đã có sự phối hợp chặt chẽ hơn với các bộ phận kiểm tra, giám sát </w:t>
      </w:r>
      <w:r w:rsidR="007175DC" w:rsidRPr="00B82522">
        <w:rPr>
          <w:sz w:val="26"/>
          <w:szCs w:val="26"/>
        </w:rPr>
        <w:t>trong việc</w:t>
      </w:r>
      <w:r w:rsidRPr="00B82522">
        <w:rPr>
          <w:sz w:val="26"/>
          <w:szCs w:val="26"/>
        </w:rPr>
        <w:t xml:space="preserve"> phát hiện</w:t>
      </w:r>
      <w:r w:rsidR="007175DC" w:rsidRPr="00B82522">
        <w:rPr>
          <w:sz w:val="26"/>
          <w:szCs w:val="26"/>
        </w:rPr>
        <w:t>, đánh giá</w:t>
      </w:r>
      <w:r w:rsidRPr="00B82522">
        <w:rPr>
          <w:sz w:val="26"/>
          <w:szCs w:val="26"/>
        </w:rPr>
        <w:t xml:space="preserve"> những tồn tại</w:t>
      </w:r>
      <w:r w:rsidR="003C3214" w:rsidRPr="00B82522">
        <w:rPr>
          <w:sz w:val="26"/>
          <w:szCs w:val="26"/>
        </w:rPr>
        <w:t>,</w:t>
      </w:r>
      <w:r w:rsidRPr="00B82522">
        <w:rPr>
          <w:sz w:val="26"/>
          <w:szCs w:val="26"/>
        </w:rPr>
        <w:t xml:space="preserve"> bất cập của cơ chế quản lý, điều hành </w:t>
      </w:r>
      <w:r w:rsidR="00D9701F" w:rsidRPr="00B82522">
        <w:rPr>
          <w:sz w:val="26"/>
          <w:szCs w:val="26"/>
        </w:rPr>
        <w:t xml:space="preserve">để điều chỉnh </w:t>
      </w:r>
      <w:r w:rsidR="003C3214" w:rsidRPr="00B82522">
        <w:rPr>
          <w:sz w:val="26"/>
          <w:szCs w:val="26"/>
        </w:rPr>
        <w:t>phù hợp hơn</w:t>
      </w:r>
      <w:r w:rsidR="00D9701F" w:rsidRPr="00B82522">
        <w:rPr>
          <w:sz w:val="26"/>
          <w:szCs w:val="26"/>
        </w:rPr>
        <w:t xml:space="preserve">; Điều hành dòng tiền </w:t>
      </w:r>
      <w:r w:rsidR="003C3214" w:rsidRPr="00B82522">
        <w:rPr>
          <w:sz w:val="26"/>
          <w:szCs w:val="26"/>
        </w:rPr>
        <w:t>đã</w:t>
      </w:r>
      <w:r w:rsidR="00D9701F" w:rsidRPr="00B82522">
        <w:rPr>
          <w:sz w:val="26"/>
          <w:szCs w:val="26"/>
        </w:rPr>
        <w:t xml:space="preserve"> góp phần gia tăng hiệu quả </w:t>
      </w:r>
      <w:r w:rsidR="00571AF5" w:rsidRPr="00B82522">
        <w:rPr>
          <w:sz w:val="26"/>
          <w:szCs w:val="26"/>
        </w:rPr>
        <w:t>SXKD</w:t>
      </w:r>
      <w:r w:rsidR="00D9701F" w:rsidRPr="00B82522">
        <w:rPr>
          <w:sz w:val="26"/>
          <w:szCs w:val="26"/>
        </w:rPr>
        <w:t>.</w:t>
      </w:r>
    </w:p>
    <w:p w:rsidR="00A606AF" w:rsidRPr="00B82522" w:rsidRDefault="00E11D61" w:rsidP="009237F3">
      <w:pPr>
        <w:pStyle w:val="BodyTextIndent"/>
        <w:tabs>
          <w:tab w:val="clear" w:pos="1134"/>
        </w:tabs>
        <w:spacing w:before="0" w:line="276" w:lineRule="auto"/>
        <w:ind w:left="0" w:firstLine="720"/>
        <w:rPr>
          <w:sz w:val="26"/>
          <w:szCs w:val="26"/>
        </w:rPr>
      </w:pPr>
      <w:r w:rsidRPr="00B82522">
        <w:rPr>
          <w:sz w:val="26"/>
          <w:szCs w:val="26"/>
        </w:rPr>
        <w:t>-</w:t>
      </w:r>
      <w:r w:rsidR="00F51496">
        <w:rPr>
          <w:sz w:val="26"/>
          <w:szCs w:val="26"/>
        </w:rPr>
        <w:t xml:space="preserve"> </w:t>
      </w:r>
      <w:r w:rsidR="00CC63DA" w:rsidRPr="00B82522">
        <w:rPr>
          <w:sz w:val="26"/>
          <w:szCs w:val="26"/>
        </w:rPr>
        <w:t>Tổng giám đốc</w:t>
      </w:r>
      <w:r w:rsidR="009237F3" w:rsidRPr="00B82522">
        <w:rPr>
          <w:sz w:val="26"/>
          <w:szCs w:val="26"/>
        </w:rPr>
        <w:t xml:space="preserve">đã </w:t>
      </w:r>
      <w:r w:rsidR="00D8351D" w:rsidRPr="00B82522">
        <w:rPr>
          <w:sz w:val="26"/>
          <w:szCs w:val="26"/>
        </w:rPr>
        <w:t xml:space="preserve">thực hiện đúng </w:t>
      </w:r>
      <w:r w:rsidR="009237F3" w:rsidRPr="00B82522">
        <w:rPr>
          <w:sz w:val="26"/>
          <w:szCs w:val="26"/>
        </w:rPr>
        <w:t>theo</w:t>
      </w:r>
      <w:r w:rsidR="00D8351D" w:rsidRPr="00B82522">
        <w:rPr>
          <w:sz w:val="26"/>
          <w:szCs w:val="26"/>
        </w:rPr>
        <w:t xml:space="preserve"> chức năng</w:t>
      </w:r>
      <w:r w:rsidR="009237F3" w:rsidRPr="00B82522">
        <w:rPr>
          <w:sz w:val="26"/>
          <w:szCs w:val="26"/>
        </w:rPr>
        <w:t>,</w:t>
      </w:r>
      <w:r w:rsidR="00D8351D" w:rsidRPr="00B82522">
        <w:rPr>
          <w:sz w:val="26"/>
          <w:szCs w:val="26"/>
        </w:rPr>
        <w:t xml:space="preserve"> nhiệm vụ và </w:t>
      </w:r>
      <w:r w:rsidR="00CC63DA" w:rsidRPr="00B82522">
        <w:rPr>
          <w:sz w:val="26"/>
          <w:szCs w:val="26"/>
        </w:rPr>
        <w:t>phân cấp của H</w:t>
      </w:r>
      <w:r w:rsidR="00766313" w:rsidRPr="00B82522">
        <w:rPr>
          <w:sz w:val="26"/>
          <w:szCs w:val="26"/>
        </w:rPr>
        <w:t>ĐQT</w:t>
      </w:r>
      <w:r w:rsidR="00CC63DA" w:rsidRPr="00B82522">
        <w:rPr>
          <w:sz w:val="26"/>
          <w:szCs w:val="26"/>
        </w:rPr>
        <w:t xml:space="preserve">, thực hiện nghị quyết của </w:t>
      </w:r>
      <w:r w:rsidR="009237F3" w:rsidRPr="00B82522">
        <w:rPr>
          <w:sz w:val="26"/>
          <w:szCs w:val="26"/>
        </w:rPr>
        <w:t xml:space="preserve">ĐHĐCĐ và </w:t>
      </w:r>
      <w:r w:rsidR="00CC63DA" w:rsidRPr="00B82522">
        <w:rPr>
          <w:sz w:val="26"/>
          <w:szCs w:val="26"/>
        </w:rPr>
        <w:t>H</w:t>
      </w:r>
      <w:r w:rsidR="00766313" w:rsidRPr="00B82522">
        <w:rPr>
          <w:sz w:val="26"/>
          <w:szCs w:val="26"/>
        </w:rPr>
        <w:t>ĐQT</w:t>
      </w:r>
      <w:r w:rsidR="009237F3" w:rsidRPr="00B82522">
        <w:rPr>
          <w:sz w:val="26"/>
          <w:szCs w:val="26"/>
        </w:rPr>
        <w:t xml:space="preserve"> Tập đoàn</w:t>
      </w:r>
      <w:r w:rsidR="00CC63DA" w:rsidRPr="00B82522">
        <w:rPr>
          <w:sz w:val="26"/>
          <w:szCs w:val="26"/>
        </w:rPr>
        <w:t>.</w:t>
      </w:r>
    </w:p>
    <w:p w:rsidR="00BC7CFD" w:rsidRPr="00B82522" w:rsidRDefault="002D23CD" w:rsidP="00A55294">
      <w:pPr>
        <w:pStyle w:val="BodyTextIndent"/>
        <w:tabs>
          <w:tab w:val="clear" w:pos="1134"/>
        </w:tabs>
        <w:spacing w:before="0" w:line="276" w:lineRule="auto"/>
        <w:ind w:left="0" w:firstLine="720"/>
        <w:rPr>
          <w:b/>
          <w:i/>
          <w:color w:val="FF0000"/>
          <w:sz w:val="26"/>
          <w:szCs w:val="26"/>
        </w:rPr>
      </w:pPr>
      <w:r w:rsidRPr="00B82522">
        <w:rPr>
          <w:b/>
          <w:i/>
          <w:sz w:val="26"/>
          <w:szCs w:val="26"/>
        </w:rPr>
        <w:t>5</w:t>
      </w:r>
      <w:r w:rsidR="00F85939" w:rsidRPr="00B82522">
        <w:rPr>
          <w:b/>
          <w:i/>
          <w:sz w:val="26"/>
          <w:szCs w:val="26"/>
        </w:rPr>
        <w:t xml:space="preserve">. </w:t>
      </w:r>
      <w:r w:rsidR="005145A8" w:rsidRPr="00B82522">
        <w:rPr>
          <w:b/>
          <w:i/>
          <w:sz w:val="26"/>
          <w:szCs w:val="26"/>
        </w:rPr>
        <w:t>S</w:t>
      </w:r>
      <w:r w:rsidR="00F85939" w:rsidRPr="00B82522">
        <w:rPr>
          <w:b/>
          <w:i/>
          <w:sz w:val="26"/>
          <w:szCs w:val="26"/>
        </w:rPr>
        <w:t xml:space="preserve">ự phối hợp hoạt động giữa </w:t>
      </w:r>
      <w:r w:rsidR="00D06FA3" w:rsidRPr="00B82522">
        <w:rPr>
          <w:b/>
          <w:i/>
          <w:sz w:val="26"/>
          <w:szCs w:val="26"/>
        </w:rPr>
        <w:t>Ban kiểm soát với H</w:t>
      </w:r>
      <w:r w:rsidR="00766313" w:rsidRPr="00B82522">
        <w:rPr>
          <w:b/>
          <w:i/>
          <w:sz w:val="26"/>
          <w:szCs w:val="26"/>
        </w:rPr>
        <w:t>ĐQT</w:t>
      </w:r>
      <w:r w:rsidR="00F85939" w:rsidRPr="00B82522">
        <w:rPr>
          <w:b/>
          <w:i/>
          <w:sz w:val="26"/>
          <w:szCs w:val="26"/>
        </w:rPr>
        <w:t xml:space="preserve">, </w:t>
      </w:r>
      <w:r w:rsidR="009237F3" w:rsidRPr="00B82522">
        <w:rPr>
          <w:b/>
          <w:i/>
          <w:sz w:val="26"/>
          <w:szCs w:val="26"/>
        </w:rPr>
        <w:t>Tổng g</w:t>
      </w:r>
      <w:r w:rsidR="00F85939" w:rsidRPr="00B82522">
        <w:rPr>
          <w:b/>
          <w:i/>
          <w:sz w:val="26"/>
          <w:szCs w:val="26"/>
        </w:rPr>
        <w:t>iám đốc</w:t>
      </w:r>
    </w:p>
    <w:p w:rsidR="00D8351D"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xml:space="preserve">- </w:t>
      </w:r>
      <w:r w:rsidR="00CC63DA" w:rsidRPr="00B82522">
        <w:rPr>
          <w:sz w:val="26"/>
          <w:szCs w:val="26"/>
        </w:rPr>
        <w:t>Các Phòng, Ban nghiệp vụ của H</w:t>
      </w:r>
      <w:r w:rsidR="00766313" w:rsidRPr="00B82522">
        <w:rPr>
          <w:sz w:val="26"/>
          <w:szCs w:val="26"/>
        </w:rPr>
        <w:t>ĐQT</w:t>
      </w:r>
      <w:r w:rsidR="00CC63DA" w:rsidRPr="00B82522">
        <w:rPr>
          <w:sz w:val="26"/>
          <w:szCs w:val="26"/>
        </w:rPr>
        <w:t xml:space="preserve"> và Tổng giám đốc </w:t>
      </w:r>
      <w:r w:rsidR="00D8351D" w:rsidRPr="00B82522">
        <w:rPr>
          <w:sz w:val="26"/>
          <w:szCs w:val="26"/>
        </w:rPr>
        <w:t xml:space="preserve">đã cung cấp </w:t>
      </w:r>
      <w:r w:rsidR="00CC63DA" w:rsidRPr="00B82522">
        <w:rPr>
          <w:sz w:val="26"/>
          <w:szCs w:val="26"/>
        </w:rPr>
        <w:t>các tài liệu</w:t>
      </w:r>
      <w:r w:rsidR="00D8351D" w:rsidRPr="00B82522">
        <w:rPr>
          <w:sz w:val="26"/>
          <w:szCs w:val="26"/>
        </w:rPr>
        <w:t>,</w:t>
      </w:r>
      <w:r w:rsidR="00CC63DA" w:rsidRPr="00B82522">
        <w:rPr>
          <w:sz w:val="26"/>
          <w:szCs w:val="26"/>
        </w:rPr>
        <w:t xml:space="preserve"> thông tin </w:t>
      </w:r>
      <w:r w:rsidR="00766313" w:rsidRPr="00B82522">
        <w:rPr>
          <w:sz w:val="26"/>
          <w:szCs w:val="26"/>
        </w:rPr>
        <w:t xml:space="preserve">cần thiết </w:t>
      </w:r>
      <w:r w:rsidR="00CC63DA" w:rsidRPr="00B82522">
        <w:rPr>
          <w:sz w:val="26"/>
          <w:szCs w:val="26"/>
        </w:rPr>
        <w:t xml:space="preserve">theo yêu cầu </w:t>
      </w:r>
      <w:r w:rsidR="00C24DD3" w:rsidRPr="00B82522">
        <w:rPr>
          <w:sz w:val="26"/>
          <w:szCs w:val="26"/>
        </w:rPr>
        <w:t>cho</w:t>
      </w:r>
      <w:r w:rsidR="00D8351D" w:rsidRPr="00B82522">
        <w:rPr>
          <w:sz w:val="26"/>
          <w:szCs w:val="26"/>
        </w:rPr>
        <w:t xml:space="preserve"> Ban kiểm soát</w:t>
      </w:r>
      <w:r w:rsidR="00F51496">
        <w:rPr>
          <w:sz w:val="26"/>
          <w:szCs w:val="26"/>
        </w:rPr>
        <w:t xml:space="preserve"> </w:t>
      </w:r>
      <w:r w:rsidRPr="00B82522">
        <w:rPr>
          <w:sz w:val="26"/>
          <w:szCs w:val="26"/>
        </w:rPr>
        <w:t xml:space="preserve">để </w:t>
      </w:r>
      <w:r w:rsidR="00C24DD3" w:rsidRPr="00B82522">
        <w:rPr>
          <w:sz w:val="26"/>
          <w:szCs w:val="26"/>
        </w:rPr>
        <w:t>thực hiện chức năng</w:t>
      </w:r>
      <w:r w:rsidRPr="00B82522">
        <w:rPr>
          <w:sz w:val="26"/>
          <w:szCs w:val="26"/>
        </w:rPr>
        <w:t>, quyền hạn và nghĩa</w:t>
      </w:r>
      <w:r w:rsidR="00C24DD3" w:rsidRPr="00B82522">
        <w:rPr>
          <w:sz w:val="26"/>
          <w:szCs w:val="26"/>
        </w:rPr>
        <w:t xml:space="preserve"> vụ</w:t>
      </w:r>
      <w:r w:rsidR="00F51496">
        <w:rPr>
          <w:sz w:val="26"/>
          <w:szCs w:val="26"/>
        </w:rPr>
        <w:t xml:space="preserve"> </w:t>
      </w:r>
      <w:r w:rsidRPr="00B82522">
        <w:rPr>
          <w:sz w:val="26"/>
          <w:szCs w:val="26"/>
        </w:rPr>
        <w:t>của Ban kiểm soát</w:t>
      </w:r>
      <w:r w:rsidR="00D8351D" w:rsidRPr="00B82522">
        <w:rPr>
          <w:sz w:val="26"/>
          <w:szCs w:val="26"/>
        </w:rPr>
        <w:t>.</w:t>
      </w:r>
      <w:r w:rsidR="003317D1" w:rsidRPr="00B82522">
        <w:rPr>
          <w:sz w:val="26"/>
          <w:szCs w:val="26"/>
        </w:rPr>
        <w:t xml:space="preserve"> Một số kiến nghị của Ban kiểm soát được triển khai thực hiện.</w:t>
      </w:r>
    </w:p>
    <w:p w:rsidR="005145A8"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Ban kiểm soát luôn quan tâm, chú trọng sự phối hợp với HĐQT, Tổng giám đốc và các Phòng, Ban nghiệp vụ, CTy thành viên</w:t>
      </w:r>
      <w:r w:rsidR="005145A8" w:rsidRPr="00B82522">
        <w:rPr>
          <w:sz w:val="26"/>
          <w:szCs w:val="26"/>
        </w:rPr>
        <w:t>, Cổ đông trong suốt quá trình tổ chức thực hiện quyền hạn, nghĩa vụ theo quy định hiện hành.</w:t>
      </w:r>
    </w:p>
    <w:p w:rsidR="009237F3" w:rsidRPr="00B82522" w:rsidRDefault="005145A8" w:rsidP="009237F3">
      <w:pPr>
        <w:pStyle w:val="BodyTextIndent"/>
        <w:tabs>
          <w:tab w:val="clear" w:pos="1134"/>
        </w:tabs>
        <w:spacing w:before="0" w:line="276" w:lineRule="auto"/>
        <w:ind w:left="0" w:firstLine="720"/>
        <w:rPr>
          <w:sz w:val="26"/>
          <w:szCs w:val="26"/>
        </w:rPr>
      </w:pPr>
      <w:r w:rsidRPr="00B82522">
        <w:rPr>
          <w:sz w:val="26"/>
          <w:szCs w:val="26"/>
        </w:rPr>
        <w:t>- Ban kiểm soát thực hiện thông báo kịp thời cho HĐQT, Tổng gi</w:t>
      </w:r>
      <w:r w:rsidR="00766313" w:rsidRPr="00B82522">
        <w:rPr>
          <w:sz w:val="26"/>
          <w:szCs w:val="26"/>
        </w:rPr>
        <w:t>ám</w:t>
      </w:r>
      <w:r w:rsidRPr="00B82522">
        <w:rPr>
          <w:sz w:val="26"/>
          <w:szCs w:val="26"/>
        </w:rPr>
        <w:t xml:space="preserve"> đốc và các cán bộ quản lý khác về phân công nhiệm vụ cho Kiểm soát viên, Kế hoạch công tác giám sát và tình hình, kết quả công tác giám sát đã thực hiện. </w:t>
      </w:r>
    </w:p>
    <w:p w:rsidR="00774B4C" w:rsidRPr="00B82522" w:rsidRDefault="00DD0EA4" w:rsidP="00DD0EA4">
      <w:pPr>
        <w:spacing w:after="0"/>
        <w:jc w:val="center"/>
        <w:rPr>
          <w:b/>
          <w:color w:val="FF0000"/>
          <w:spacing w:val="-20"/>
          <w:szCs w:val="26"/>
        </w:rPr>
      </w:pPr>
      <w:r w:rsidRPr="00864ED3">
        <w:rPr>
          <w:b/>
          <w:spacing w:val="-20"/>
          <w:szCs w:val="26"/>
          <w:u w:val="single"/>
        </w:rPr>
        <w:t xml:space="preserve">PHẦN </w:t>
      </w:r>
      <w:r w:rsidR="00BF77A6" w:rsidRPr="00864ED3">
        <w:rPr>
          <w:b/>
          <w:spacing w:val="-20"/>
          <w:szCs w:val="26"/>
          <w:u w:val="single"/>
        </w:rPr>
        <w:t>III</w:t>
      </w:r>
      <w:r w:rsidRPr="00864ED3">
        <w:rPr>
          <w:b/>
          <w:spacing w:val="-20"/>
          <w:szCs w:val="26"/>
        </w:rPr>
        <w:t>:</w:t>
      </w:r>
      <w:r w:rsidR="00864ED3">
        <w:rPr>
          <w:b/>
          <w:spacing w:val="-20"/>
          <w:szCs w:val="26"/>
        </w:rPr>
        <w:t xml:space="preserve"> </w:t>
      </w:r>
      <w:r w:rsidR="00E41D64" w:rsidRPr="00B82522">
        <w:rPr>
          <w:b/>
          <w:spacing w:val="-20"/>
          <w:szCs w:val="26"/>
        </w:rPr>
        <w:t>K</w:t>
      </w:r>
      <w:r w:rsidR="0036126D" w:rsidRPr="00B82522">
        <w:rPr>
          <w:b/>
          <w:spacing w:val="-20"/>
          <w:szCs w:val="26"/>
        </w:rPr>
        <w:t>IẾN NGHỊ</w:t>
      </w:r>
      <w:r w:rsidR="00E663F2">
        <w:rPr>
          <w:b/>
          <w:spacing w:val="-20"/>
          <w:szCs w:val="26"/>
        </w:rPr>
        <w:t xml:space="preserve"> </w:t>
      </w:r>
      <w:r w:rsidR="00E77273" w:rsidRPr="00B82522">
        <w:rPr>
          <w:b/>
          <w:spacing w:val="-20"/>
          <w:szCs w:val="26"/>
        </w:rPr>
        <w:t xml:space="preserve">VÀ </w:t>
      </w:r>
      <w:r w:rsidR="00102ECA" w:rsidRPr="00B82522">
        <w:rPr>
          <w:b/>
          <w:spacing w:val="-20"/>
          <w:szCs w:val="26"/>
        </w:rPr>
        <w:t xml:space="preserve">PHƯƠNG </w:t>
      </w:r>
      <w:r w:rsidR="00E77273" w:rsidRPr="00B82522">
        <w:rPr>
          <w:b/>
          <w:spacing w:val="-20"/>
          <w:szCs w:val="26"/>
        </w:rPr>
        <w:t>HƯỚNG CÔNG TÁC GIÁM SÁT NĂM 2018</w:t>
      </w:r>
    </w:p>
    <w:p w:rsidR="00D44F08" w:rsidRPr="00B82522" w:rsidRDefault="00D44F08" w:rsidP="00A55294">
      <w:pPr>
        <w:spacing w:after="0"/>
        <w:ind w:firstLine="720"/>
        <w:jc w:val="both"/>
        <w:rPr>
          <w:b/>
          <w:szCs w:val="26"/>
        </w:rPr>
      </w:pPr>
    </w:p>
    <w:p w:rsidR="00D12CFF" w:rsidRPr="00D12CFF" w:rsidRDefault="00D12CFF" w:rsidP="00D12CFF">
      <w:pPr>
        <w:spacing w:after="0"/>
        <w:ind w:firstLine="720"/>
        <w:jc w:val="both"/>
        <w:rPr>
          <w:b/>
          <w:i/>
          <w:szCs w:val="26"/>
        </w:rPr>
      </w:pPr>
      <w:r>
        <w:rPr>
          <w:b/>
          <w:i/>
          <w:szCs w:val="26"/>
        </w:rPr>
        <w:t xml:space="preserve">1. </w:t>
      </w:r>
      <w:r w:rsidRPr="00D12CFF">
        <w:rPr>
          <w:b/>
          <w:i/>
          <w:szCs w:val="26"/>
        </w:rPr>
        <w:t>Kiến nghị</w:t>
      </w:r>
    </w:p>
    <w:p w:rsidR="00372594" w:rsidRPr="00B82522" w:rsidRDefault="00372594" w:rsidP="00372594">
      <w:pPr>
        <w:spacing w:after="0"/>
        <w:ind w:firstLine="720"/>
        <w:jc w:val="both"/>
        <w:rPr>
          <w:spacing w:val="-6"/>
          <w:szCs w:val="26"/>
        </w:rPr>
      </w:pPr>
      <w:r w:rsidRPr="00B82522">
        <w:rPr>
          <w:spacing w:val="-6"/>
          <w:szCs w:val="26"/>
        </w:rPr>
        <w:t>Để hoạt động SXKD của Tập đoàn tiếp tục phát triển an toàn, hiệu quả, Ban kiểm soát có một số kiến nghị sau:</w:t>
      </w:r>
    </w:p>
    <w:p w:rsidR="00372594" w:rsidRPr="00B82522" w:rsidRDefault="009518DA" w:rsidP="00372594">
      <w:pPr>
        <w:spacing w:after="0"/>
        <w:ind w:firstLine="720"/>
        <w:jc w:val="both"/>
        <w:rPr>
          <w:szCs w:val="26"/>
        </w:rPr>
      </w:pPr>
      <w:r>
        <w:rPr>
          <w:szCs w:val="26"/>
        </w:rPr>
        <w:t>1.</w:t>
      </w:r>
      <w:r w:rsidR="00372594" w:rsidRPr="00B82522">
        <w:rPr>
          <w:szCs w:val="26"/>
        </w:rPr>
        <w:t>1. Tiếp tục rà soát, sửa đổi, bổ sung, hoàn thiện hệ thống các quy chế, quy định, quy trình quản lý, định mức kinh tế kỹ thuật nội bộ phù hợp với các quy định hiện hành của Nhà nước và thực t</w:t>
      </w:r>
      <w:r w:rsidR="00766313" w:rsidRPr="00B82522">
        <w:rPr>
          <w:szCs w:val="26"/>
        </w:rPr>
        <w:t>iễn</w:t>
      </w:r>
      <w:r w:rsidR="00372594" w:rsidRPr="00B82522">
        <w:rPr>
          <w:szCs w:val="26"/>
        </w:rPr>
        <w:t xml:space="preserve"> hoạt động </w:t>
      </w:r>
      <w:r w:rsidR="00766313" w:rsidRPr="00B82522">
        <w:rPr>
          <w:szCs w:val="26"/>
        </w:rPr>
        <w:t xml:space="preserve">SXKD </w:t>
      </w:r>
      <w:r w:rsidR="00372594" w:rsidRPr="00B82522">
        <w:rPr>
          <w:szCs w:val="26"/>
        </w:rPr>
        <w:t>của Tập đoàn, doanh nghiệp thành viên.</w:t>
      </w:r>
    </w:p>
    <w:p w:rsidR="00DF2B21" w:rsidRPr="00F568FD" w:rsidRDefault="009518DA" w:rsidP="00AF1169">
      <w:pPr>
        <w:spacing w:after="0"/>
        <w:ind w:firstLine="720"/>
        <w:jc w:val="both"/>
        <w:rPr>
          <w:spacing w:val="-4"/>
          <w:szCs w:val="26"/>
        </w:rPr>
      </w:pPr>
      <w:r>
        <w:rPr>
          <w:spacing w:val="-4"/>
          <w:szCs w:val="26"/>
        </w:rPr>
        <w:t>1.</w:t>
      </w:r>
      <w:r w:rsidR="00372594" w:rsidRPr="00F568FD">
        <w:rPr>
          <w:spacing w:val="-4"/>
          <w:szCs w:val="26"/>
        </w:rPr>
        <w:t xml:space="preserve">2. </w:t>
      </w:r>
      <w:r w:rsidR="00DF2B21" w:rsidRPr="00F568FD">
        <w:rPr>
          <w:spacing w:val="-4"/>
          <w:szCs w:val="26"/>
        </w:rPr>
        <w:t xml:space="preserve">Xây dựng phương án </w:t>
      </w:r>
      <w:r w:rsidR="00C508AD" w:rsidRPr="00F568FD">
        <w:rPr>
          <w:spacing w:val="-4"/>
          <w:szCs w:val="26"/>
        </w:rPr>
        <w:t xml:space="preserve">và tổ chức thực hiện </w:t>
      </w:r>
      <w:r w:rsidR="00F568FD" w:rsidRPr="00F568FD">
        <w:rPr>
          <w:spacing w:val="-4"/>
          <w:szCs w:val="26"/>
        </w:rPr>
        <w:t xml:space="preserve">thoái vốn, </w:t>
      </w:r>
      <w:r w:rsidR="00DF2B21" w:rsidRPr="00F568FD">
        <w:rPr>
          <w:spacing w:val="-4"/>
          <w:szCs w:val="26"/>
        </w:rPr>
        <w:t xml:space="preserve">giảm vốn Nhà nước xuống </w:t>
      </w:r>
      <w:r w:rsidR="00F568FD" w:rsidRPr="00F568FD">
        <w:rPr>
          <w:spacing w:val="-4"/>
          <w:szCs w:val="26"/>
        </w:rPr>
        <w:t xml:space="preserve">còn </w:t>
      </w:r>
      <w:r w:rsidR="00DF2B21" w:rsidRPr="00F568FD">
        <w:rPr>
          <w:spacing w:val="-4"/>
          <w:szCs w:val="26"/>
        </w:rPr>
        <w:t xml:space="preserve">51% theo </w:t>
      </w:r>
      <w:r w:rsidR="00FB5D52" w:rsidRPr="00F568FD">
        <w:rPr>
          <w:spacing w:val="-4"/>
          <w:szCs w:val="26"/>
        </w:rPr>
        <w:t xml:space="preserve">Quyết định số </w:t>
      </w:r>
      <w:r w:rsidR="00FB5D52" w:rsidRPr="00F568FD">
        <w:rPr>
          <w:spacing w:val="-4"/>
          <w:szCs w:val="26"/>
          <w:lang w:val="nl-NL"/>
        </w:rPr>
        <w:t>1232/QĐ-TTg ngày 17/8/2017 của Thủ tướng Chính phủ</w:t>
      </w:r>
      <w:r w:rsidR="00DF2B21" w:rsidRPr="00F568FD">
        <w:rPr>
          <w:spacing w:val="-4"/>
          <w:szCs w:val="26"/>
        </w:rPr>
        <w:t xml:space="preserve">; </w:t>
      </w:r>
      <w:r w:rsidR="00A31C09" w:rsidRPr="00F568FD">
        <w:rPr>
          <w:spacing w:val="-4"/>
          <w:szCs w:val="26"/>
        </w:rPr>
        <w:t xml:space="preserve">Tiếp tục tổ chức thực hiện </w:t>
      </w:r>
      <w:r w:rsidR="00372594" w:rsidRPr="00F568FD">
        <w:rPr>
          <w:spacing w:val="-4"/>
          <w:szCs w:val="26"/>
        </w:rPr>
        <w:t xml:space="preserve">tái cấu trúc </w:t>
      </w:r>
      <w:r w:rsidR="00A31C09" w:rsidRPr="00F568FD">
        <w:rPr>
          <w:spacing w:val="-4"/>
          <w:szCs w:val="26"/>
        </w:rPr>
        <w:t xml:space="preserve">Tập đoàn </w:t>
      </w:r>
      <w:r w:rsidR="00372594" w:rsidRPr="00F568FD">
        <w:rPr>
          <w:spacing w:val="-4"/>
          <w:szCs w:val="26"/>
        </w:rPr>
        <w:t xml:space="preserve">theo </w:t>
      </w:r>
      <w:r w:rsidR="00A31C09" w:rsidRPr="00F568FD">
        <w:rPr>
          <w:spacing w:val="-4"/>
          <w:szCs w:val="26"/>
        </w:rPr>
        <w:t xml:space="preserve">Quyết định số 828/2011/QĐ-TTg </w:t>
      </w:r>
      <w:r w:rsidR="00FB5D52" w:rsidRPr="00F568FD">
        <w:rPr>
          <w:spacing w:val="-4"/>
          <w:szCs w:val="26"/>
        </w:rPr>
        <w:t xml:space="preserve">ngày 31/5/2011 </w:t>
      </w:r>
      <w:r w:rsidR="00A31C09" w:rsidRPr="00F568FD">
        <w:rPr>
          <w:spacing w:val="-4"/>
          <w:szCs w:val="26"/>
        </w:rPr>
        <w:t>của Thủ tướng Chính phủ với l</w:t>
      </w:r>
      <w:r w:rsidR="00372594" w:rsidRPr="00F568FD">
        <w:rPr>
          <w:spacing w:val="-4"/>
          <w:szCs w:val="26"/>
        </w:rPr>
        <w:t>ộ trình phù hợp, hiệu quả</w:t>
      </w:r>
      <w:r w:rsidR="00DF2B21" w:rsidRPr="00F568FD">
        <w:rPr>
          <w:spacing w:val="-4"/>
          <w:szCs w:val="26"/>
        </w:rPr>
        <w:t>.</w:t>
      </w:r>
    </w:p>
    <w:p w:rsidR="00221EEA" w:rsidRPr="00B82522" w:rsidRDefault="009518DA" w:rsidP="00221EEA">
      <w:pPr>
        <w:spacing w:after="0"/>
        <w:ind w:firstLine="720"/>
        <w:jc w:val="both"/>
        <w:rPr>
          <w:szCs w:val="26"/>
        </w:rPr>
      </w:pPr>
      <w:r>
        <w:rPr>
          <w:szCs w:val="26"/>
        </w:rPr>
        <w:t>1.</w:t>
      </w:r>
      <w:r w:rsidR="00221EEA" w:rsidRPr="00B82522">
        <w:rPr>
          <w:szCs w:val="26"/>
        </w:rPr>
        <w:t>3. Tiếp tục hoàn thiện</w:t>
      </w:r>
      <w:r w:rsidR="00E661BA" w:rsidRPr="00B82522">
        <w:rPr>
          <w:szCs w:val="26"/>
        </w:rPr>
        <w:t>, phê duyệt</w:t>
      </w:r>
      <w:r w:rsidR="00221EEA" w:rsidRPr="00B82522">
        <w:rPr>
          <w:szCs w:val="26"/>
        </w:rPr>
        <w:t xml:space="preserve"> quy hoạch hệ thống cơ sở VCKT kinh doanh xăng dầu thời kỳ 2016-2021, tầm nhìn đến năm 2030.</w:t>
      </w:r>
    </w:p>
    <w:p w:rsidR="009A5B6D" w:rsidRPr="00B82522" w:rsidRDefault="009518DA" w:rsidP="00AF1169">
      <w:pPr>
        <w:spacing w:after="0"/>
        <w:ind w:firstLine="720"/>
        <w:jc w:val="both"/>
        <w:rPr>
          <w:szCs w:val="26"/>
        </w:rPr>
      </w:pPr>
      <w:r>
        <w:rPr>
          <w:szCs w:val="26"/>
        </w:rPr>
        <w:t>1.</w:t>
      </w:r>
      <w:bookmarkStart w:id="0" w:name="_GoBack"/>
      <w:bookmarkEnd w:id="0"/>
      <w:r w:rsidR="00221EEA" w:rsidRPr="00B82522">
        <w:rPr>
          <w:szCs w:val="26"/>
        </w:rPr>
        <w:t>4</w:t>
      </w:r>
      <w:r w:rsidR="00DF2B21" w:rsidRPr="00B82522">
        <w:rPr>
          <w:szCs w:val="26"/>
        </w:rPr>
        <w:t xml:space="preserve">. </w:t>
      </w:r>
      <w:r w:rsidR="009A5B6D" w:rsidRPr="00B82522">
        <w:rPr>
          <w:szCs w:val="26"/>
        </w:rPr>
        <w:t>Rà soát, đánh giá các rủi ro tiềm ẩn trong hoạt động SXKD của Tập đoàn</w:t>
      </w:r>
      <w:r w:rsidR="00221EEA" w:rsidRPr="00B82522">
        <w:rPr>
          <w:szCs w:val="26"/>
        </w:rPr>
        <w:t xml:space="preserve">. Theo đó, có lộ trình và giải pháp đồng bộ, phù hợp để tổ chức thực hiện nhằm </w:t>
      </w:r>
      <w:r w:rsidR="00E24285">
        <w:rPr>
          <w:szCs w:val="26"/>
        </w:rPr>
        <w:t xml:space="preserve">đảm bảo an toàn, </w:t>
      </w:r>
      <w:r w:rsidR="009B5A93">
        <w:rPr>
          <w:szCs w:val="26"/>
        </w:rPr>
        <w:t xml:space="preserve">tiếp tục </w:t>
      </w:r>
      <w:r w:rsidR="00221EEA" w:rsidRPr="00B82522">
        <w:rPr>
          <w:szCs w:val="26"/>
        </w:rPr>
        <w:t xml:space="preserve">hoàn thiện công tác quản trị doanh nghiệp, nâng cao hiệu quả </w:t>
      </w:r>
      <w:r w:rsidR="00512428" w:rsidRPr="00B82522">
        <w:rPr>
          <w:szCs w:val="26"/>
        </w:rPr>
        <w:t>SXKD</w:t>
      </w:r>
      <w:r w:rsidR="00221EEA" w:rsidRPr="00B82522">
        <w:rPr>
          <w:szCs w:val="26"/>
        </w:rPr>
        <w:t>.</w:t>
      </w:r>
    </w:p>
    <w:p w:rsidR="00D12CFF" w:rsidRDefault="00D12CFF" w:rsidP="00221EEA">
      <w:pPr>
        <w:spacing w:after="0"/>
        <w:ind w:firstLine="720"/>
        <w:jc w:val="both"/>
        <w:rPr>
          <w:spacing w:val="-6"/>
          <w:szCs w:val="26"/>
        </w:rPr>
      </w:pPr>
    </w:p>
    <w:p w:rsidR="00D12CFF" w:rsidRDefault="00D12CFF" w:rsidP="00221EEA">
      <w:pPr>
        <w:spacing w:after="0"/>
        <w:ind w:firstLine="720"/>
        <w:jc w:val="both"/>
        <w:rPr>
          <w:spacing w:val="-6"/>
          <w:szCs w:val="26"/>
        </w:rPr>
      </w:pPr>
      <w:r w:rsidRPr="00D12CFF">
        <w:rPr>
          <w:b/>
          <w:i/>
          <w:spacing w:val="-6"/>
          <w:szCs w:val="26"/>
        </w:rPr>
        <w:t xml:space="preserve">2. Phương hướng công tác giám sát </w:t>
      </w:r>
    </w:p>
    <w:p w:rsidR="00221EEA" w:rsidRPr="008A559A" w:rsidRDefault="00221EEA" w:rsidP="00221EEA">
      <w:pPr>
        <w:spacing w:after="0"/>
        <w:ind w:firstLine="720"/>
        <w:jc w:val="both"/>
        <w:rPr>
          <w:spacing w:val="-4"/>
          <w:szCs w:val="26"/>
          <w:lang w:val="nl-NL"/>
        </w:rPr>
      </w:pPr>
      <w:r w:rsidRPr="008A559A">
        <w:rPr>
          <w:spacing w:val="-4"/>
          <w:szCs w:val="26"/>
          <w:lang w:val="nl-NL"/>
        </w:rPr>
        <w:t xml:space="preserve">Năm 2018, Ban kiểm soát tập trung thực hiện Kế hoạch công tác giám sát đã xây dựng tại văn bản số </w:t>
      </w:r>
      <w:r w:rsidR="00937C9A" w:rsidRPr="008A559A">
        <w:rPr>
          <w:spacing w:val="-4"/>
          <w:szCs w:val="26"/>
          <w:lang w:val="nl-NL"/>
        </w:rPr>
        <w:t>344</w:t>
      </w:r>
      <w:r w:rsidRPr="008A559A">
        <w:rPr>
          <w:spacing w:val="-4"/>
          <w:szCs w:val="26"/>
          <w:lang w:val="nl-NL"/>
        </w:rPr>
        <w:t xml:space="preserve">/PLX-BKS ngày </w:t>
      </w:r>
      <w:r w:rsidR="00D45308" w:rsidRPr="008A559A">
        <w:rPr>
          <w:spacing w:val="-4"/>
          <w:szCs w:val="26"/>
          <w:lang w:val="nl-NL"/>
        </w:rPr>
        <w:t>26</w:t>
      </w:r>
      <w:r w:rsidR="006E0EC1" w:rsidRPr="008A559A">
        <w:rPr>
          <w:spacing w:val="-4"/>
          <w:szCs w:val="26"/>
          <w:lang w:val="nl-NL"/>
        </w:rPr>
        <w:t>/</w:t>
      </w:r>
      <w:r w:rsidR="005478C9" w:rsidRPr="008A559A">
        <w:rPr>
          <w:spacing w:val="-4"/>
          <w:szCs w:val="26"/>
          <w:lang w:val="nl-NL"/>
        </w:rPr>
        <w:t>3</w:t>
      </w:r>
      <w:r w:rsidR="006E0EC1" w:rsidRPr="008A559A">
        <w:rPr>
          <w:spacing w:val="-4"/>
          <w:szCs w:val="26"/>
          <w:lang w:val="nl-NL"/>
        </w:rPr>
        <w:t>/2018</w:t>
      </w:r>
      <w:r w:rsidRPr="008A559A">
        <w:rPr>
          <w:spacing w:val="-4"/>
          <w:szCs w:val="26"/>
          <w:lang w:val="nl-NL"/>
        </w:rPr>
        <w:t xml:space="preserve"> với các nội dung </w:t>
      </w:r>
      <w:r w:rsidR="00695849">
        <w:rPr>
          <w:spacing w:val="-4"/>
          <w:szCs w:val="26"/>
          <w:lang w:val="nl-NL"/>
        </w:rPr>
        <w:t>trọng tâm</w:t>
      </w:r>
      <w:r w:rsidRPr="008A559A">
        <w:rPr>
          <w:spacing w:val="-4"/>
          <w:szCs w:val="26"/>
          <w:lang w:val="nl-NL"/>
        </w:rPr>
        <w:t xml:space="preserve"> sau đây:</w:t>
      </w:r>
    </w:p>
    <w:p w:rsidR="00FE1FE4" w:rsidRPr="00695849" w:rsidRDefault="00D12CFF" w:rsidP="00FE1FE4">
      <w:pPr>
        <w:spacing w:after="0"/>
        <w:ind w:firstLine="720"/>
        <w:jc w:val="both"/>
        <w:rPr>
          <w:spacing w:val="-4"/>
          <w:szCs w:val="26"/>
          <w:lang w:val="nl-NL"/>
        </w:rPr>
      </w:pPr>
      <w:r>
        <w:rPr>
          <w:spacing w:val="-4"/>
          <w:szCs w:val="26"/>
          <w:lang w:val="nl-NL"/>
        </w:rPr>
        <w:t>2.</w:t>
      </w:r>
      <w:r w:rsidR="00EA5533">
        <w:rPr>
          <w:spacing w:val="-4"/>
          <w:szCs w:val="26"/>
          <w:lang w:val="nl-NL"/>
        </w:rPr>
        <w:t>1.</w:t>
      </w:r>
      <w:r w:rsidR="00FE1FE4" w:rsidRPr="00B82522">
        <w:rPr>
          <w:spacing w:val="-4"/>
          <w:szCs w:val="26"/>
          <w:lang w:val="nl-NL"/>
        </w:rPr>
        <w:t xml:space="preserve"> Giám sát tình hình và kết quả tổ chức thực hiện nghị quyết của ĐHĐCĐ</w:t>
      </w:r>
      <w:r w:rsidR="00695849">
        <w:rPr>
          <w:spacing w:val="-4"/>
          <w:szCs w:val="26"/>
          <w:lang w:val="nl-NL"/>
        </w:rPr>
        <w:t>,</w:t>
      </w:r>
      <w:r w:rsidR="00E663F2">
        <w:rPr>
          <w:spacing w:val="-4"/>
          <w:szCs w:val="26"/>
          <w:lang w:val="nl-NL"/>
        </w:rPr>
        <w:t xml:space="preserve"> </w:t>
      </w:r>
      <w:r w:rsidR="00FE1FE4" w:rsidRPr="00695849">
        <w:rPr>
          <w:spacing w:val="-4"/>
          <w:szCs w:val="26"/>
          <w:lang w:val="nl-NL"/>
        </w:rPr>
        <w:t>HĐQT Tập đoàn;</w:t>
      </w:r>
    </w:p>
    <w:p w:rsidR="00FE1FE4" w:rsidRDefault="00D12CFF" w:rsidP="00FE1FE4">
      <w:pPr>
        <w:spacing w:after="0"/>
        <w:ind w:firstLine="720"/>
        <w:jc w:val="both"/>
        <w:rPr>
          <w:spacing w:val="-2"/>
          <w:szCs w:val="26"/>
          <w:lang w:val="nl-NL"/>
        </w:rPr>
      </w:pPr>
      <w:r>
        <w:rPr>
          <w:spacing w:val="-2"/>
          <w:szCs w:val="26"/>
          <w:lang w:val="nl-NL"/>
        </w:rPr>
        <w:t>2</w:t>
      </w:r>
      <w:r w:rsidR="00EA5533">
        <w:rPr>
          <w:spacing w:val="-2"/>
          <w:szCs w:val="26"/>
          <w:lang w:val="nl-NL"/>
        </w:rPr>
        <w:t>.2.</w:t>
      </w:r>
      <w:r w:rsidR="00FE1FE4" w:rsidRPr="00B82522">
        <w:rPr>
          <w:spacing w:val="-2"/>
          <w:szCs w:val="26"/>
          <w:lang w:val="nl-NL"/>
        </w:rPr>
        <w:t xml:space="preserve"> Giám sát việc xây dựng, giao và tổ chức thực hiện kế hoạch SXKD tại Tập đoàn, đơn vị thành viên;</w:t>
      </w:r>
    </w:p>
    <w:p w:rsidR="009B074A" w:rsidRPr="005F3ACA" w:rsidRDefault="00D12CFF" w:rsidP="009B074A">
      <w:pPr>
        <w:spacing w:after="0"/>
        <w:ind w:firstLine="720"/>
        <w:jc w:val="both"/>
        <w:rPr>
          <w:szCs w:val="26"/>
          <w:lang w:val="nl-NL"/>
        </w:rPr>
      </w:pPr>
      <w:r>
        <w:rPr>
          <w:szCs w:val="26"/>
          <w:lang w:val="nl-NL"/>
        </w:rPr>
        <w:t>2</w:t>
      </w:r>
      <w:r w:rsidR="00EA5533" w:rsidRPr="005F3ACA">
        <w:rPr>
          <w:szCs w:val="26"/>
          <w:lang w:val="nl-NL"/>
        </w:rPr>
        <w:t>.3.</w:t>
      </w:r>
      <w:r w:rsidR="009B074A" w:rsidRPr="005F3ACA">
        <w:rPr>
          <w:szCs w:val="26"/>
          <w:lang w:val="nl-NL"/>
        </w:rPr>
        <w:t xml:space="preserve"> Giám sát việc tiếp tục tổ chức thực hiện tái cấu </w:t>
      </w:r>
      <w:r w:rsidR="004672B9" w:rsidRPr="005F3ACA">
        <w:rPr>
          <w:szCs w:val="26"/>
          <w:lang w:val="nl-NL"/>
        </w:rPr>
        <w:t xml:space="preserve">trúc </w:t>
      </w:r>
      <w:r w:rsidR="009B074A" w:rsidRPr="005F3ACA">
        <w:rPr>
          <w:szCs w:val="26"/>
          <w:lang w:val="nl-NL"/>
        </w:rPr>
        <w:t>Tập đoàn (</w:t>
      </w:r>
      <w:r w:rsidR="00D960FA" w:rsidRPr="005F3ACA">
        <w:rPr>
          <w:szCs w:val="26"/>
          <w:lang w:val="nl-NL"/>
        </w:rPr>
        <w:t>Thành lập TCTy Xây lắp và Thương mại Petrolimex, g</w:t>
      </w:r>
      <w:r w:rsidR="009B074A" w:rsidRPr="005F3ACA">
        <w:rPr>
          <w:szCs w:val="26"/>
          <w:lang w:val="nl-NL"/>
        </w:rPr>
        <w:t xml:space="preserve">iảm vốn Nhà nước, </w:t>
      </w:r>
      <w:r w:rsidR="00F3442C" w:rsidRPr="005F3ACA">
        <w:rPr>
          <w:szCs w:val="26"/>
          <w:lang w:val="nl-NL"/>
        </w:rPr>
        <w:t xml:space="preserve">tái cấu trúc </w:t>
      </w:r>
      <w:r w:rsidR="00D960FA" w:rsidRPr="005F3ACA">
        <w:rPr>
          <w:szCs w:val="26"/>
          <w:lang w:val="nl-NL"/>
        </w:rPr>
        <w:t>các</w:t>
      </w:r>
      <w:r w:rsidR="009B074A" w:rsidRPr="005F3ACA">
        <w:rPr>
          <w:szCs w:val="26"/>
          <w:lang w:val="nl-NL"/>
        </w:rPr>
        <w:t xml:space="preserve"> đơn vị thành viên</w:t>
      </w:r>
      <w:r w:rsidR="005F3ACA" w:rsidRPr="005F3ACA">
        <w:rPr>
          <w:szCs w:val="26"/>
          <w:lang w:val="nl-NL"/>
        </w:rPr>
        <w:t>...</w:t>
      </w:r>
      <w:r w:rsidR="009B074A" w:rsidRPr="005F3ACA">
        <w:rPr>
          <w:szCs w:val="26"/>
          <w:lang w:val="nl-NL"/>
        </w:rPr>
        <w:t>);</w:t>
      </w:r>
    </w:p>
    <w:p w:rsidR="00FE1FE4" w:rsidRPr="009B5A93" w:rsidRDefault="00D12CFF" w:rsidP="00FE1FE4">
      <w:pPr>
        <w:spacing w:after="0"/>
        <w:ind w:firstLine="720"/>
        <w:jc w:val="both"/>
        <w:rPr>
          <w:szCs w:val="26"/>
          <w:lang w:val="nl-NL"/>
        </w:rPr>
      </w:pPr>
      <w:r>
        <w:rPr>
          <w:szCs w:val="26"/>
          <w:lang w:val="nl-NL"/>
        </w:rPr>
        <w:t>2</w:t>
      </w:r>
      <w:r w:rsidR="00EA5533">
        <w:rPr>
          <w:szCs w:val="26"/>
          <w:lang w:val="nl-NL"/>
        </w:rPr>
        <w:t>.4.</w:t>
      </w:r>
      <w:r w:rsidR="00FE1FE4" w:rsidRPr="009B5A93">
        <w:rPr>
          <w:szCs w:val="26"/>
          <w:lang w:val="nl-NL"/>
        </w:rPr>
        <w:t xml:space="preserve"> Giám sát thực hiện chế độ quản lý lao động, tiền lương, tiền thưởng và các chế độ khác đối với người lao động</w:t>
      </w:r>
      <w:r w:rsidR="009B5A93" w:rsidRPr="009B5A93">
        <w:rPr>
          <w:szCs w:val="26"/>
          <w:lang w:val="nl-NL"/>
        </w:rPr>
        <w:t xml:space="preserve"> nhằm thúc đẩy tăng năng suất lao động, nâng cao hiệu quả SXKD</w:t>
      </w:r>
      <w:r w:rsidR="00FE1FE4" w:rsidRPr="009B5A93">
        <w:rPr>
          <w:szCs w:val="26"/>
          <w:lang w:val="nl-NL"/>
        </w:rPr>
        <w:t>;</w:t>
      </w:r>
    </w:p>
    <w:p w:rsidR="00FE1FE4" w:rsidRPr="00B82522" w:rsidRDefault="00D12CFF" w:rsidP="00FE1FE4">
      <w:pPr>
        <w:spacing w:after="0"/>
        <w:ind w:firstLine="720"/>
        <w:jc w:val="both"/>
        <w:rPr>
          <w:szCs w:val="26"/>
          <w:lang w:val="nl-NL"/>
        </w:rPr>
      </w:pPr>
      <w:r>
        <w:rPr>
          <w:szCs w:val="26"/>
          <w:lang w:val="nl-NL"/>
        </w:rPr>
        <w:t>2</w:t>
      </w:r>
      <w:r w:rsidR="00EA5533">
        <w:rPr>
          <w:szCs w:val="26"/>
          <w:lang w:val="nl-NL"/>
        </w:rPr>
        <w:t>.5.</w:t>
      </w:r>
      <w:r w:rsidR="00FE1FE4" w:rsidRPr="00B82522">
        <w:rPr>
          <w:szCs w:val="26"/>
          <w:lang w:val="nl-NL"/>
        </w:rPr>
        <w:t xml:space="preserve"> Giám sát, đánh giá</w:t>
      </w:r>
      <w:r w:rsidR="000E5D6A">
        <w:rPr>
          <w:szCs w:val="26"/>
          <w:lang w:val="nl-NL"/>
        </w:rPr>
        <w:t xml:space="preserve"> tình hình thực </w:t>
      </w:r>
      <w:r w:rsidR="00FE1FE4" w:rsidRPr="00B82522">
        <w:rPr>
          <w:szCs w:val="26"/>
          <w:lang w:val="nl-NL"/>
        </w:rPr>
        <w:t xml:space="preserve">hiện cơ chế điều hành </w:t>
      </w:r>
      <w:r w:rsidR="00C64AF8">
        <w:rPr>
          <w:szCs w:val="26"/>
          <w:lang w:val="nl-NL"/>
        </w:rPr>
        <w:t>SXKD</w:t>
      </w:r>
      <w:r w:rsidR="00FE1FE4" w:rsidRPr="00B82522">
        <w:rPr>
          <w:szCs w:val="26"/>
          <w:lang w:val="nl-NL"/>
        </w:rPr>
        <w:t>, cơ chế tài chính</w:t>
      </w:r>
      <w:r w:rsidR="00C64AF8">
        <w:rPr>
          <w:szCs w:val="26"/>
          <w:lang w:val="nl-NL"/>
        </w:rPr>
        <w:t>, hiệu quả sử dụng vốn</w:t>
      </w:r>
      <w:r w:rsidR="00E534CE">
        <w:rPr>
          <w:szCs w:val="26"/>
          <w:lang w:val="nl-NL"/>
        </w:rPr>
        <w:t>, chi phí SXKD</w:t>
      </w:r>
      <w:r w:rsidR="00FE1FE4" w:rsidRPr="00B82522">
        <w:rPr>
          <w:szCs w:val="26"/>
          <w:lang w:val="nl-NL"/>
        </w:rPr>
        <w:t xml:space="preserve">... của Tập đoàn và đơn vị thành viên; </w:t>
      </w:r>
    </w:p>
    <w:p w:rsidR="00FE1FE4" w:rsidRPr="00B82522" w:rsidRDefault="00D12CFF" w:rsidP="00FE1FE4">
      <w:pPr>
        <w:spacing w:after="0"/>
        <w:ind w:firstLine="720"/>
        <w:jc w:val="both"/>
        <w:rPr>
          <w:szCs w:val="26"/>
          <w:lang w:val="nl-NL"/>
        </w:rPr>
      </w:pPr>
      <w:r>
        <w:rPr>
          <w:spacing w:val="-6"/>
          <w:szCs w:val="26"/>
          <w:lang w:val="nl-NL"/>
        </w:rPr>
        <w:t>2</w:t>
      </w:r>
      <w:r w:rsidR="00EA5533">
        <w:rPr>
          <w:spacing w:val="-6"/>
          <w:szCs w:val="26"/>
          <w:lang w:val="nl-NL"/>
        </w:rPr>
        <w:t>.6.</w:t>
      </w:r>
      <w:r w:rsidR="009E2F4F">
        <w:rPr>
          <w:spacing w:val="-6"/>
          <w:szCs w:val="26"/>
          <w:lang w:val="nl-NL"/>
        </w:rPr>
        <w:t xml:space="preserve"> </w:t>
      </w:r>
      <w:r w:rsidR="00FE1FE4" w:rsidRPr="00B82522">
        <w:rPr>
          <w:szCs w:val="26"/>
          <w:lang w:val="nl-NL"/>
        </w:rPr>
        <w:t xml:space="preserve">Giám sát </w:t>
      </w:r>
      <w:r w:rsidR="008A559A">
        <w:rPr>
          <w:szCs w:val="26"/>
          <w:lang w:val="nl-NL"/>
        </w:rPr>
        <w:t>tình h</w:t>
      </w:r>
      <w:r w:rsidR="00FE1FE4" w:rsidRPr="00B82522">
        <w:rPr>
          <w:szCs w:val="26"/>
          <w:lang w:val="nl-NL"/>
        </w:rPr>
        <w:t xml:space="preserve">ình &amp; kết quả tổ chức thực hiện các nội dung khác trong SXKD và quản trị </w:t>
      </w:r>
      <w:r w:rsidR="001A5533">
        <w:rPr>
          <w:szCs w:val="26"/>
          <w:lang w:val="nl-NL"/>
        </w:rPr>
        <w:t xml:space="preserve">doanh nghiệp </w:t>
      </w:r>
      <w:r w:rsidR="00FE1FE4" w:rsidRPr="00B82522">
        <w:rPr>
          <w:szCs w:val="26"/>
          <w:lang w:val="nl-NL"/>
        </w:rPr>
        <w:t>tại Tập đoàn, đơn vị thành viên.</w:t>
      </w:r>
    </w:p>
    <w:p w:rsidR="0004768C" w:rsidRDefault="0004768C" w:rsidP="00372594">
      <w:pPr>
        <w:spacing w:after="0"/>
        <w:ind w:firstLine="720"/>
        <w:jc w:val="both"/>
        <w:rPr>
          <w:spacing w:val="-8"/>
          <w:szCs w:val="26"/>
        </w:rPr>
      </w:pPr>
    </w:p>
    <w:p w:rsidR="00372594" w:rsidRPr="00B82522" w:rsidRDefault="00372594" w:rsidP="00372594">
      <w:pPr>
        <w:spacing w:after="0"/>
        <w:ind w:firstLine="720"/>
        <w:jc w:val="both"/>
        <w:rPr>
          <w:spacing w:val="-8"/>
          <w:szCs w:val="26"/>
        </w:rPr>
      </w:pPr>
      <w:r w:rsidRPr="00B82522">
        <w:rPr>
          <w:spacing w:val="-8"/>
          <w:szCs w:val="26"/>
        </w:rPr>
        <w:t xml:space="preserve">Trên đây là nội dung </w:t>
      </w:r>
      <w:r w:rsidR="00BB3265" w:rsidRPr="00B82522">
        <w:rPr>
          <w:spacing w:val="-8"/>
          <w:szCs w:val="26"/>
        </w:rPr>
        <w:t>B</w:t>
      </w:r>
      <w:r w:rsidRPr="00B82522">
        <w:rPr>
          <w:spacing w:val="-8"/>
          <w:szCs w:val="26"/>
        </w:rPr>
        <w:t>áo cáo của Ban kiểm soát, kính trình ĐHĐCĐ Tập đoàn.</w:t>
      </w:r>
      <w:r w:rsidR="0004768C">
        <w:rPr>
          <w:spacing w:val="-8"/>
          <w:szCs w:val="26"/>
        </w:rPr>
        <w:t>/.</w:t>
      </w:r>
    </w:p>
    <w:p w:rsidR="00500A8D" w:rsidRPr="00FB74C6" w:rsidRDefault="00500A8D" w:rsidP="00372594">
      <w:pPr>
        <w:spacing w:after="0"/>
        <w:ind w:firstLine="720"/>
        <w:jc w:val="both"/>
        <w:rPr>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9645D" w:rsidRPr="00FB74C6" w:rsidTr="005F3ACA">
        <w:trPr>
          <w:trHeight w:val="722"/>
        </w:trPr>
        <w:tc>
          <w:tcPr>
            <w:tcW w:w="4672" w:type="dxa"/>
          </w:tcPr>
          <w:p w:rsidR="0009645D" w:rsidRPr="00FB74C6" w:rsidRDefault="0009645D" w:rsidP="00023654">
            <w:pPr>
              <w:spacing w:after="0" w:line="240" w:lineRule="auto"/>
              <w:jc w:val="both"/>
              <w:rPr>
                <w:szCs w:val="26"/>
              </w:rPr>
            </w:pPr>
          </w:p>
        </w:tc>
        <w:tc>
          <w:tcPr>
            <w:tcW w:w="4673" w:type="dxa"/>
          </w:tcPr>
          <w:p w:rsidR="0009645D" w:rsidRPr="00FB74C6" w:rsidRDefault="0009645D" w:rsidP="00023654">
            <w:pPr>
              <w:spacing w:after="0" w:line="240" w:lineRule="auto"/>
              <w:jc w:val="center"/>
              <w:rPr>
                <w:b/>
                <w:szCs w:val="26"/>
              </w:rPr>
            </w:pPr>
            <w:r w:rsidRPr="00FB74C6">
              <w:rPr>
                <w:b/>
                <w:szCs w:val="26"/>
              </w:rPr>
              <w:t>TM</w:t>
            </w:r>
            <w:r w:rsidR="008A2619" w:rsidRPr="00FB74C6">
              <w:rPr>
                <w:b/>
                <w:szCs w:val="26"/>
              </w:rPr>
              <w:t>.</w:t>
            </w:r>
            <w:r w:rsidRPr="00FB74C6">
              <w:rPr>
                <w:b/>
                <w:szCs w:val="26"/>
              </w:rPr>
              <w:t xml:space="preserve"> BAN KIỂM SOÁT</w:t>
            </w:r>
          </w:p>
          <w:p w:rsidR="006A7B89" w:rsidRPr="00FB74C6" w:rsidRDefault="006A7B89" w:rsidP="00023654">
            <w:pPr>
              <w:spacing w:after="0" w:line="240" w:lineRule="auto"/>
              <w:jc w:val="center"/>
              <w:rPr>
                <w:szCs w:val="26"/>
              </w:rPr>
            </w:pPr>
          </w:p>
        </w:tc>
      </w:tr>
    </w:tbl>
    <w:p w:rsidR="002552D9" w:rsidRDefault="002552D9" w:rsidP="00456703">
      <w:pPr>
        <w:spacing w:after="0" w:line="240" w:lineRule="auto"/>
        <w:jc w:val="center"/>
        <w:rPr>
          <w:b/>
          <w:szCs w:val="26"/>
        </w:rPr>
      </w:pPr>
    </w:p>
    <w:p w:rsidR="00456703" w:rsidRDefault="002552D9" w:rsidP="002552D9">
      <w:pPr>
        <w:spacing w:after="0" w:line="240" w:lineRule="auto"/>
        <w:jc w:val="center"/>
        <w:rPr>
          <w:b/>
          <w:szCs w:val="26"/>
        </w:rPr>
      </w:pPr>
      <w:r>
        <w:rPr>
          <w:b/>
          <w:szCs w:val="26"/>
        </w:rPr>
        <w:br w:type="page"/>
      </w:r>
      <w:r w:rsidR="00456703">
        <w:rPr>
          <w:b/>
          <w:szCs w:val="26"/>
        </w:rPr>
        <w:t>P</w:t>
      </w:r>
      <w:r w:rsidR="00A32080">
        <w:rPr>
          <w:b/>
          <w:szCs w:val="26"/>
        </w:rPr>
        <w:t>HỤ LỤC SỐ</w:t>
      </w:r>
      <w:r w:rsidR="009E2F4F">
        <w:rPr>
          <w:b/>
          <w:szCs w:val="26"/>
        </w:rPr>
        <w:t xml:space="preserve"> </w:t>
      </w:r>
      <w:r w:rsidR="00A32080">
        <w:rPr>
          <w:b/>
          <w:szCs w:val="26"/>
        </w:rPr>
        <w:t>01</w:t>
      </w:r>
    </w:p>
    <w:p w:rsidR="00A32080" w:rsidRPr="00A32080" w:rsidRDefault="00A32080" w:rsidP="00A32080">
      <w:pPr>
        <w:pStyle w:val="Heading5"/>
        <w:rPr>
          <w:b w:val="0"/>
          <w:i/>
          <w:color w:val="auto"/>
          <w:sz w:val="28"/>
          <w:szCs w:val="28"/>
        </w:rPr>
      </w:pPr>
      <w:r w:rsidRPr="00A32080">
        <w:rPr>
          <w:b w:val="0"/>
          <w:i/>
          <w:color w:val="auto"/>
          <w:sz w:val="28"/>
          <w:szCs w:val="28"/>
        </w:rPr>
        <w:t xml:space="preserve">(Kèm theo Báo cáo của Ban kiểm soát </w:t>
      </w:r>
    </w:p>
    <w:p w:rsidR="00A32080" w:rsidRPr="00A32080" w:rsidRDefault="00A32080" w:rsidP="00A32080">
      <w:pPr>
        <w:pStyle w:val="Heading5"/>
        <w:rPr>
          <w:b w:val="0"/>
          <w:i/>
          <w:color w:val="auto"/>
          <w:sz w:val="28"/>
          <w:szCs w:val="28"/>
        </w:rPr>
      </w:pPr>
      <w:r w:rsidRPr="00A32080">
        <w:rPr>
          <w:b w:val="0"/>
          <w:i/>
          <w:color w:val="auto"/>
          <w:sz w:val="28"/>
          <w:szCs w:val="28"/>
        </w:rPr>
        <w:t>Tại Đại hội đồng cổ đông Tập đoàn năm 2018)</w:t>
      </w:r>
    </w:p>
    <w:p w:rsidR="00456703" w:rsidRPr="00A32080" w:rsidRDefault="00456703" w:rsidP="00456703">
      <w:pPr>
        <w:spacing w:after="0"/>
        <w:ind w:firstLine="720"/>
        <w:jc w:val="both"/>
        <w:rPr>
          <w:color w:val="FF0000"/>
          <w:szCs w:val="26"/>
        </w:rPr>
      </w:pPr>
    </w:p>
    <w:tbl>
      <w:tblPr>
        <w:tblW w:w="9090" w:type="dxa"/>
        <w:tblInd w:w="108" w:type="dxa"/>
        <w:tblLook w:val="04A0"/>
      </w:tblPr>
      <w:tblGrid>
        <w:gridCol w:w="670"/>
        <w:gridCol w:w="4100"/>
        <w:gridCol w:w="1530"/>
        <w:gridCol w:w="1350"/>
        <w:gridCol w:w="1440"/>
      </w:tblGrid>
      <w:tr w:rsidR="00456703" w:rsidRPr="00B82522" w:rsidTr="00DD3952">
        <w:trPr>
          <w:trHeight w:val="31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TT</w:t>
            </w:r>
          </w:p>
        </w:tc>
        <w:tc>
          <w:tcPr>
            <w:tcW w:w="4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CHỈ TIÊU</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Đơn vị tính</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Ngày 31/12/2017</w:t>
            </w:r>
          </w:p>
        </w:tc>
      </w:tr>
      <w:tr w:rsidR="00456703" w:rsidRPr="00B82522" w:rsidTr="00DD3952">
        <w:trPr>
          <w:trHeight w:val="478"/>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56703" w:rsidRPr="00B82522" w:rsidRDefault="00456703" w:rsidP="00DD3952">
            <w:pPr>
              <w:spacing w:after="0" w:line="240" w:lineRule="auto"/>
              <w:rPr>
                <w:rFonts w:eastAsia="Times New Roman"/>
                <w:b/>
                <w:bCs/>
                <w:szCs w:val="26"/>
              </w:rPr>
            </w:pPr>
          </w:p>
        </w:tc>
        <w:tc>
          <w:tcPr>
            <w:tcW w:w="4100" w:type="dxa"/>
            <w:vMerge/>
            <w:tcBorders>
              <w:top w:val="single" w:sz="4" w:space="0" w:color="auto"/>
              <w:left w:val="single" w:sz="4" w:space="0" w:color="auto"/>
              <w:bottom w:val="single" w:sz="4" w:space="0" w:color="000000"/>
              <w:right w:val="single" w:sz="4" w:space="0" w:color="auto"/>
            </w:tcBorders>
            <w:vAlign w:val="center"/>
            <w:hideMark/>
          </w:tcPr>
          <w:p w:rsidR="00456703" w:rsidRPr="00B82522" w:rsidRDefault="00456703" w:rsidP="00DD3952">
            <w:pPr>
              <w:spacing w:after="0" w:line="240" w:lineRule="auto"/>
              <w:rPr>
                <w:rFonts w:eastAsia="Times New Roman"/>
                <w:b/>
                <w:bCs/>
                <w:szCs w:val="26"/>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456703" w:rsidRPr="00B82522" w:rsidRDefault="00456703" w:rsidP="00DD3952">
            <w:pPr>
              <w:spacing w:after="0" w:line="240" w:lineRule="auto"/>
              <w:rPr>
                <w:rFonts w:eastAsia="Times New Roman"/>
                <w:b/>
                <w:bCs/>
                <w:szCs w:val="26"/>
              </w:rPr>
            </w:pPr>
          </w:p>
        </w:tc>
        <w:tc>
          <w:tcPr>
            <w:tcW w:w="1350" w:type="dxa"/>
            <w:tcBorders>
              <w:top w:val="nil"/>
              <w:left w:val="nil"/>
              <w:bottom w:val="single" w:sz="4" w:space="0" w:color="auto"/>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CTy mẹ</w:t>
            </w:r>
          </w:p>
        </w:tc>
        <w:tc>
          <w:tcPr>
            <w:tcW w:w="1440" w:type="dxa"/>
            <w:tcBorders>
              <w:top w:val="nil"/>
              <w:left w:val="nil"/>
              <w:bottom w:val="single" w:sz="4" w:space="0" w:color="auto"/>
              <w:right w:val="single" w:sz="4" w:space="0" w:color="auto"/>
            </w:tcBorders>
            <w:shd w:val="clear" w:color="auto" w:fill="auto"/>
            <w:noWrap/>
            <w:vAlign w:val="center"/>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Hợp nhất</w:t>
            </w:r>
          </w:p>
        </w:tc>
      </w:tr>
      <w:tr w:rsidR="00456703" w:rsidRPr="00B82522" w:rsidTr="00DD3952">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456703" w:rsidRPr="009B074A" w:rsidRDefault="00456703" w:rsidP="00DD3952">
            <w:pPr>
              <w:spacing w:after="0" w:line="240" w:lineRule="auto"/>
              <w:jc w:val="center"/>
              <w:rPr>
                <w:rFonts w:eastAsia="Times New Roman"/>
                <w:bCs/>
                <w:i/>
                <w:sz w:val="20"/>
                <w:szCs w:val="20"/>
              </w:rPr>
            </w:pPr>
            <w:r w:rsidRPr="009B074A">
              <w:rPr>
                <w:rFonts w:eastAsia="Times New Roman"/>
                <w:bCs/>
                <w:i/>
                <w:sz w:val="20"/>
                <w:szCs w:val="20"/>
              </w:rPr>
              <w:t>(1)</w:t>
            </w:r>
          </w:p>
        </w:tc>
        <w:tc>
          <w:tcPr>
            <w:tcW w:w="4100" w:type="dxa"/>
            <w:tcBorders>
              <w:top w:val="nil"/>
              <w:left w:val="nil"/>
              <w:bottom w:val="single" w:sz="4" w:space="0" w:color="auto"/>
              <w:right w:val="single" w:sz="4" w:space="0" w:color="auto"/>
            </w:tcBorders>
            <w:shd w:val="clear" w:color="auto" w:fill="auto"/>
            <w:noWrap/>
            <w:vAlign w:val="bottom"/>
          </w:tcPr>
          <w:p w:rsidR="00456703" w:rsidRPr="009B074A" w:rsidRDefault="00456703" w:rsidP="00DD3952">
            <w:pPr>
              <w:spacing w:after="0" w:line="240" w:lineRule="auto"/>
              <w:jc w:val="center"/>
              <w:rPr>
                <w:rFonts w:eastAsia="Times New Roman"/>
                <w:b/>
                <w:bCs/>
                <w:i/>
                <w:sz w:val="20"/>
                <w:szCs w:val="20"/>
              </w:rPr>
            </w:pPr>
            <w:r w:rsidRPr="009B074A">
              <w:rPr>
                <w:rFonts w:eastAsia="Times New Roman"/>
                <w:bCs/>
                <w:i/>
                <w:sz w:val="20"/>
                <w:szCs w:val="20"/>
              </w:rPr>
              <w:t>(2)</w:t>
            </w:r>
          </w:p>
        </w:tc>
        <w:tc>
          <w:tcPr>
            <w:tcW w:w="1530" w:type="dxa"/>
            <w:tcBorders>
              <w:top w:val="nil"/>
              <w:left w:val="nil"/>
              <w:bottom w:val="single" w:sz="4" w:space="0" w:color="auto"/>
              <w:right w:val="single" w:sz="4" w:space="0" w:color="auto"/>
            </w:tcBorders>
            <w:shd w:val="clear" w:color="auto" w:fill="auto"/>
            <w:noWrap/>
            <w:vAlign w:val="bottom"/>
          </w:tcPr>
          <w:p w:rsidR="00456703" w:rsidRPr="009B074A" w:rsidRDefault="00456703" w:rsidP="00DD3952">
            <w:pPr>
              <w:spacing w:after="0" w:line="240" w:lineRule="auto"/>
              <w:jc w:val="center"/>
              <w:rPr>
                <w:rFonts w:eastAsia="Times New Roman"/>
                <w:b/>
                <w:bCs/>
                <w:i/>
                <w:sz w:val="20"/>
                <w:szCs w:val="20"/>
              </w:rPr>
            </w:pPr>
            <w:r w:rsidRPr="009B074A">
              <w:rPr>
                <w:rFonts w:eastAsia="Times New Roman"/>
                <w:bCs/>
                <w:i/>
                <w:sz w:val="20"/>
                <w:szCs w:val="20"/>
              </w:rPr>
              <w:t>(3)</w:t>
            </w:r>
          </w:p>
        </w:tc>
        <w:tc>
          <w:tcPr>
            <w:tcW w:w="1350" w:type="dxa"/>
            <w:tcBorders>
              <w:top w:val="nil"/>
              <w:left w:val="nil"/>
              <w:bottom w:val="single" w:sz="4" w:space="0" w:color="auto"/>
              <w:right w:val="single" w:sz="4" w:space="0" w:color="auto"/>
            </w:tcBorders>
            <w:shd w:val="clear" w:color="auto" w:fill="auto"/>
            <w:noWrap/>
            <w:vAlign w:val="bottom"/>
          </w:tcPr>
          <w:p w:rsidR="00456703" w:rsidRPr="009B074A" w:rsidRDefault="00456703" w:rsidP="00DD3952">
            <w:pPr>
              <w:spacing w:after="0" w:line="240" w:lineRule="auto"/>
              <w:jc w:val="center"/>
              <w:rPr>
                <w:rFonts w:eastAsia="Times New Roman"/>
                <w:b/>
                <w:bCs/>
                <w:i/>
                <w:sz w:val="20"/>
                <w:szCs w:val="20"/>
              </w:rPr>
            </w:pPr>
            <w:r w:rsidRPr="009B074A">
              <w:rPr>
                <w:rFonts w:eastAsia="Times New Roman"/>
                <w:bCs/>
                <w:i/>
                <w:sz w:val="20"/>
                <w:szCs w:val="20"/>
              </w:rPr>
              <w:t>(4)</w:t>
            </w:r>
          </w:p>
        </w:tc>
        <w:tc>
          <w:tcPr>
            <w:tcW w:w="1440" w:type="dxa"/>
            <w:tcBorders>
              <w:top w:val="nil"/>
              <w:left w:val="nil"/>
              <w:bottom w:val="single" w:sz="4" w:space="0" w:color="auto"/>
              <w:right w:val="single" w:sz="4" w:space="0" w:color="auto"/>
            </w:tcBorders>
            <w:shd w:val="clear" w:color="auto" w:fill="auto"/>
            <w:noWrap/>
            <w:vAlign w:val="bottom"/>
          </w:tcPr>
          <w:p w:rsidR="00456703" w:rsidRPr="009B074A" w:rsidRDefault="00456703" w:rsidP="00DD3952">
            <w:pPr>
              <w:spacing w:after="0" w:line="240" w:lineRule="auto"/>
              <w:jc w:val="center"/>
              <w:rPr>
                <w:rFonts w:eastAsia="Times New Roman"/>
                <w:b/>
                <w:bCs/>
                <w:i/>
                <w:sz w:val="20"/>
                <w:szCs w:val="20"/>
              </w:rPr>
            </w:pPr>
            <w:r w:rsidRPr="009B074A">
              <w:rPr>
                <w:rFonts w:eastAsia="Times New Roman"/>
                <w:bCs/>
                <w:i/>
                <w:sz w:val="20"/>
                <w:szCs w:val="20"/>
              </w:rPr>
              <w:t>(5)</w:t>
            </w:r>
          </w:p>
        </w:tc>
      </w:tr>
      <w:tr w:rsidR="00456703" w:rsidRPr="00B82522" w:rsidTr="00DD3952">
        <w:trPr>
          <w:trHeight w:val="315"/>
        </w:trPr>
        <w:tc>
          <w:tcPr>
            <w:tcW w:w="67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I</w:t>
            </w:r>
          </w:p>
        </w:tc>
        <w:tc>
          <w:tcPr>
            <w:tcW w:w="4100" w:type="dxa"/>
            <w:tcBorders>
              <w:top w:val="single"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Tổng tài sản</w:t>
            </w:r>
          </w:p>
        </w:tc>
        <w:tc>
          <w:tcPr>
            <w:tcW w:w="1530" w:type="dxa"/>
            <w:tcBorders>
              <w:top w:val="single"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 </w:t>
            </w:r>
            <w:r w:rsidRPr="00B82522">
              <w:rPr>
                <w:rFonts w:eastAsia="Times New Roman"/>
                <w:b/>
                <w:szCs w:val="26"/>
              </w:rPr>
              <w:t>Tỷ đồng</w:t>
            </w:r>
          </w:p>
        </w:tc>
        <w:tc>
          <w:tcPr>
            <w:tcW w:w="1350" w:type="dxa"/>
            <w:tcBorders>
              <w:top w:val="single"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b/>
                <w:bCs/>
                <w:szCs w:val="26"/>
              </w:rPr>
            </w:pPr>
            <w:r w:rsidRPr="00B82522">
              <w:rPr>
                <w:rFonts w:eastAsia="Times New Roman"/>
                <w:b/>
                <w:bCs/>
                <w:szCs w:val="26"/>
              </w:rPr>
              <w:t>42.156</w:t>
            </w:r>
          </w:p>
        </w:tc>
        <w:tc>
          <w:tcPr>
            <w:tcW w:w="1440" w:type="dxa"/>
            <w:tcBorders>
              <w:top w:val="single"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b/>
                <w:bCs/>
                <w:szCs w:val="26"/>
              </w:rPr>
            </w:pPr>
            <w:r w:rsidRPr="00B82522">
              <w:rPr>
                <w:rFonts w:eastAsia="Times New Roman"/>
                <w:b/>
                <w:bCs/>
                <w:szCs w:val="26"/>
              </w:rPr>
              <w:t>61.769</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Tài sản ngắn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30.159</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40.526</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Tài sản dài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11.997</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21.243</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II</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 </w:t>
            </w:r>
            <w:r w:rsidRPr="00B82522">
              <w:rPr>
                <w:rFonts w:eastAsia="Times New Roman"/>
                <w:b/>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b/>
                <w:bCs/>
                <w:szCs w:val="26"/>
              </w:rPr>
            </w:pPr>
            <w:r w:rsidRPr="00B82522">
              <w:rPr>
                <w:rFonts w:eastAsia="Times New Roman"/>
                <w:b/>
                <w:bCs/>
                <w:szCs w:val="26"/>
              </w:rPr>
              <w:t>42.156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b/>
                <w:bCs/>
                <w:szCs w:val="26"/>
              </w:rPr>
            </w:pPr>
            <w:r w:rsidRPr="00B82522">
              <w:rPr>
                <w:rFonts w:eastAsia="Times New Roman"/>
                <w:b/>
                <w:bCs/>
                <w:szCs w:val="26"/>
              </w:rPr>
              <w:t>61.769</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Nợ phải trả</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23.520</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38.385</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Vốn chủ sở hữu</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18.636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23.384</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III</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Cơ cấu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center"/>
              <w:rPr>
                <w:rFonts w:eastAsia="Times New Roman"/>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rPr>
                <w:rFonts w:eastAsia="Times New Roman"/>
                <w:szCs w:val="26"/>
              </w:rPr>
            </w:pP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Nợ phải trả/Tổng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56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62</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Vốn chủ sở hữu/Tổng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44</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38</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IV</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Khả năng thanh toán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center"/>
              <w:rPr>
                <w:rFonts w:eastAsia="Times New Roman"/>
                <w:b/>
                <w:bCs/>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rPr>
                <w:rFonts w:eastAsia="Times New Roman"/>
                <w:szCs w:val="26"/>
              </w:rPr>
            </w:pP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Hệ số thanh toán ngắn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Lần</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1,28</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1,06</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Hệ số thanh toán nhanh</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Lần</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0,72</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0,63</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V</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Khả năng sinh lợi</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center"/>
              <w:rPr>
                <w:rFonts w:eastAsia="Times New Roman"/>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rPr>
                <w:rFonts w:eastAsia="Times New Roman"/>
                <w:szCs w:val="26"/>
              </w:rPr>
            </w:pP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 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Lợi nhuận sau thuế (LNST)</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 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3.492</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3.912</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ROE ( Tỷ suất LNST/Vốn CSH)</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743524" w:rsidRDefault="000F46C7" w:rsidP="000F46C7">
            <w:pPr>
              <w:spacing w:after="0" w:line="240" w:lineRule="auto"/>
              <w:jc w:val="right"/>
              <w:rPr>
                <w:rFonts w:eastAsia="Times New Roman"/>
                <w:szCs w:val="26"/>
              </w:rPr>
            </w:pPr>
            <w:r w:rsidRPr="00743524">
              <w:rPr>
                <w:rFonts w:eastAsia="Times New Roman"/>
                <w:szCs w:val="26"/>
              </w:rPr>
              <w:t>19</w:t>
            </w:r>
            <w:r w:rsidR="00456703" w:rsidRPr="00743524">
              <w:rPr>
                <w:rFonts w:eastAsia="Times New Roman"/>
                <w:szCs w:val="26"/>
              </w:rPr>
              <w:t>,</w:t>
            </w:r>
            <w:r w:rsidRPr="00743524">
              <w:rPr>
                <w:rFonts w:eastAsia="Times New Roman"/>
                <w:szCs w:val="26"/>
              </w:rPr>
              <w:t>1</w:t>
            </w:r>
            <w:r w:rsidR="00456703" w:rsidRPr="00743524">
              <w:rPr>
                <w:rFonts w:eastAsia="Times New Roman"/>
                <w:szCs w:val="26"/>
              </w:rPr>
              <w:t>4</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743524" w:rsidRDefault="002552D9" w:rsidP="002552D9">
            <w:pPr>
              <w:spacing w:after="0" w:line="240" w:lineRule="auto"/>
              <w:jc w:val="right"/>
              <w:rPr>
                <w:rFonts w:eastAsia="Times New Roman"/>
                <w:szCs w:val="26"/>
              </w:rPr>
            </w:pPr>
            <w:r w:rsidRPr="00743524">
              <w:rPr>
                <w:rFonts w:eastAsia="Times New Roman"/>
                <w:szCs w:val="26"/>
              </w:rPr>
              <w:t>16,80</w:t>
            </w:r>
          </w:p>
        </w:tc>
      </w:tr>
      <w:tr w:rsidR="00456703" w:rsidRPr="00B82522" w:rsidTr="00DD3952">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3</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szCs w:val="26"/>
              </w:rPr>
            </w:pPr>
            <w:r w:rsidRPr="00B82522">
              <w:rPr>
                <w:rFonts w:eastAsia="Times New Roman"/>
                <w:szCs w:val="26"/>
              </w:rPr>
              <w:t>ROA( Tỷ suất LNST/Tổng tài sản)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rsidR="00456703" w:rsidRPr="00743524" w:rsidRDefault="000F46C7" w:rsidP="000F46C7">
            <w:pPr>
              <w:spacing w:after="0" w:line="240" w:lineRule="auto"/>
              <w:jc w:val="right"/>
              <w:rPr>
                <w:rFonts w:eastAsia="Times New Roman"/>
                <w:szCs w:val="26"/>
              </w:rPr>
            </w:pPr>
            <w:r w:rsidRPr="00743524">
              <w:rPr>
                <w:rFonts w:eastAsia="Times New Roman"/>
                <w:szCs w:val="26"/>
              </w:rPr>
              <w:t>9</w:t>
            </w:r>
            <w:r w:rsidR="00456703" w:rsidRPr="00743524">
              <w:rPr>
                <w:rFonts w:eastAsia="Times New Roman"/>
                <w:szCs w:val="26"/>
              </w:rPr>
              <w:t>,</w:t>
            </w:r>
            <w:r w:rsidRPr="00743524">
              <w:rPr>
                <w:rFonts w:eastAsia="Times New Roman"/>
                <w:szCs w:val="26"/>
              </w:rPr>
              <w:t>56</w:t>
            </w:r>
          </w:p>
        </w:tc>
        <w:tc>
          <w:tcPr>
            <w:tcW w:w="1440" w:type="dxa"/>
            <w:tcBorders>
              <w:top w:val="dotted" w:sz="4" w:space="0" w:color="auto"/>
              <w:left w:val="nil"/>
              <w:bottom w:val="dotted" w:sz="4" w:space="0" w:color="auto"/>
              <w:right w:val="single" w:sz="4" w:space="0" w:color="auto"/>
            </w:tcBorders>
            <w:shd w:val="clear" w:color="auto" w:fill="auto"/>
            <w:noWrap/>
            <w:vAlign w:val="bottom"/>
          </w:tcPr>
          <w:p w:rsidR="00456703" w:rsidRPr="00743524" w:rsidRDefault="002552D9" w:rsidP="00DD3952">
            <w:pPr>
              <w:spacing w:after="0" w:line="240" w:lineRule="auto"/>
              <w:jc w:val="right"/>
              <w:rPr>
                <w:rFonts w:eastAsia="Times New Roman"/>
                <w:szCs w:val="26"/>
              </w:rPr>
            </w:pPr>
            <w:r w:rsidRPr="00743524">
              <w:rPr>
                <w:rFonts w:eastAsia="Times New Roman"/>
                <w:szCs w:val="26"/>
              </w:rPr>
              <w:t>6,74</w:t>
            </w:r>
          </w:p>
        </w:tc>
      </w:tr>
      <w:tr w:rsidR="00456703" w:rsidRPr="00B82522" w:rsidTr="00DD3952">
        <w:trPr>
          <w:trHeight w:val="315"/>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b/>
                <w:bCs/>
                <w:szCs w:val="26"/>
              </w:rPr>
            </w:pPr>
            <w:r w:rsidRPr="00B82522">
              <w:rPr>
                <w:rFonts w:eastAsia="Times New Roman"/>
                <w:b/>
                <w:bCs/>
                <w:szCs w:val="26"/>
              </w:rPr>
              <w:t>VI</w:t>
            </w:r>
          </w:p>
        </w:tc>
        <w:tc>
          <w:tcPr>
            <w:tcW w:w="4100" w:type="dxa"/>
            <w:tcBorders>
              <w:top w:val="dotted" w:sz="4" w:space="0" w:color="auto"/>
              <w:left w:val="nil"/>
              <w:bottom w:val="single" w:sz="4" w:space="0" w:color="auto"/>
              <w:right w:val="single" w:sz="4" w:space="0" w:color="auto"/>
            </w:tcBorders>
            <w:shd w:val="clear" w:color="auto" w:fill="auto"/>
            <w:noWrap/>
            <w:vAlign w:val="bottom"/>
            <w:hideMark/>
          </w:tcPr>
          <w:p w:rsidR="00456703" w:rsidRPr="00B82522" w:rsidRDefault="00456703" w:rsidP="00DD3952">
            <w:pPr>
              <w:spacing w:after="0" w:line="240" w:lineRule="auto"/>
              <w:rPr>
                <w:rFonts w:eastAsia="Times New Roman"/>
                <w:b/>
                <w:bCs/>
                <w:szCs w:val="26"/>
              </w:rPr>
            </w:pPr>
            <w:r w:rsidRPr="00B82522">
              <w:rPr>
                <w:rFonts w:eastAsia="Times New Roman"/>
                <w:b/>
                <w:bCs/>
                <w:szCs w:val="26"/>
              </w:rPr>
              <w:t>Lãi cơ bản trên cổ phiếu</w:t>
            </w:r>
          </w:p>
        </w:tc>
        <w:tc>
          <w:tcPr>
            <w:tcW w:w="1530" w:type="dxa"/>
            <w:tcBorders>
              <w:top w:val="dotted" w:sz="4" w:space="0" w:color="auto"/>
              <w:left w:val="nil"/>
              <w:bottom w:val="single" w:sz="4" w:space="0" w:color="auto"/>
              <w:right w:val="single" w:sz="4" w:space="0" w:color="auto"/>
            </w:tcBorders>
            <w:shd w:val="clear" w:color="auto" w:fill="auto"/>
            <w:noWrap/>
            <w:vAlign w:val="bottom"/>
            <w:hideMark/>
          </w:tcPr>
          <w:p w:rsidR="00456703" w:rsidRPr="00B82522" w:rsidRDefault="00456703" w:rsidP="00DD3952">
            <w:pPr>
              <w:spacing w:after="0" w:line="240" w:lineRule="auto"/>
              <w:jc w:val="center"/>
              <w:rPr>
                <w:rFonts w:eastAsia="Times New Roman"/>
                <w:szCs w:val="26"/>
              </w:rPr>
            </w:pPr>
            <w:r w:rsidRPr="00B82522">
              <w:rPr>
                <w:rFonts w:eastAsia="Times New Roman"/>
                <w:szCs w:val="26"/>
              </w:rPr>
              <w:t>đồng</w:t>
            </w:r>
          </w:p>
        </w:tc>
        <w:tc>
          <w:tcPr>
            <w:tcW w:w="1350" w:type="dxa"/>
            <w:tcBorders>
              <w:top w:val="dotted" w:sz="4" w:space="0" w:color="auto"/>
              <w:left w:val="nil"/>
              <w:bottom w:val="single" w:sz="4" w:space="0" w:color="auto"/>
              <w:right w:val="single" w:sz="4" w:space="0" w:color="auto"/>
            </w:tcBorders>
            <w:shd w:val="clear" w:color="auto" w:fill="auto"/>
            <w:noWrap/>
            <w:vAlign w:val="bottom"/>
          </w:tcPr>
          <w:p w:rsidR="00456703" w:rsidRPr="00B82522" w:rsidRDefault="00456703" w:rsidP="00DD3952">
            <w:pPr>
              <w:spacing w:after="0" w:line="240" w:lineRule="auto"/>
              <w:jc w:val="center"/>
              <w:rPr>
                <w:rFonts w:eastAsia="Times New Roman"/>
                <w:szCs w:val="26"/>
              </w:rPr>
            </w:pPr>
          </w:p>
        </w:tc>
        <w:tc>
          <w:tcPr>
            <w:tcW w:w="1440" w:type="dxa"/>
            <w:tcBorders>
              <w:top w:val="dotted" w:sz="4" w:space="0" w:color="auto"/>
              <w:left w:val="nil"/>
              <w:bottom w:val="single" w:sz="4" w:space="0" w:color="auto"/>
              <w:right w:val="single" w:sz="4" w:space="0" w:color="auto"/>
            </w:tcBorders>
            <w:shd w:val="clear" w:color="auto" w:fill="auto"/>
            <w:noWrap/>
            <w:vAlign w:val="bottom"/>
          </w:tcPr>
          <w:p w:rsidR="00456703" w:rsidRPr="00B82522" w:rsidRDefault="00456703" w:rsidP="00DD3952">
            <w:pPr>
              <w:spacing w:after="0" w:line="240" w:lineRule="auto"/>
              <w:jc w:val="right"/>
              <w:rPr>
                <w:rFonts w:eastAsia="Times New Roman"/>
                <w:szCs w:val="26"/>
              </w:rPr>
            </w:pPr>
            <w:r w:rsidRPr="00B82522">
              <w:rPr>
                <w:rFonts w:eastAsia="Times New Roman"/>
                <w:szCs w:val="26"/>
              </w:rPr>
              <w:t>3.013</w:t>
            </w:r>
          </w:p>
        </w:tc>
      </w:tr>
    </w:tbl>
    <w:p w:rsidR="00456703" w:rsidRPr="00FB74C6" w:rsidRDefault="00456703" w:rsidP="006E0EC1">
      <w:pPr>
        <w:spacing w:after="0" w:line="240" w:lineRule="auto"/>
        <w:jc w:val="both"/>
        <w:rPr>
          <w:b/>
          <w:szCs w:val="26"/>
        </w:rPr>
      </w:pPr>
    </w:p>
    <w:sectPr w:rsidR="00456703" w:rsidRPr="00FB74C6" w:rsidSect="0028649A">
      <w:footerReference w:type="default" r:id="rId9"/>
      <w:pgSz w:w="11907" w:h="16840" w:code="9"/>
      <w:pgMar w:top="907" w:right="1077"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93A" w:rsidRDefault="0004193A" w:rsidP="00E93525">
      <w:pPr>
        <w:spacing w:after="0" w:line="240" w:lineRule="auto"/>
      </w:pPr>
      <w:r>
        <w:separator/>
      </w:r>
    </w:p>
  </w:endnote>
  <w:endnote w:type="continuationSeparator" w:id="1">
    <w:p w:rsidR="0004193A" w:rsidRDefault="0004193A" w:rsidP="00E93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839509"/>
      <w:docPartObj>
        <w:docPartGallery w:val="Page Numbers (Bottom of Page)"/>
        <w:docPartUnique/>
      </w:docPartObj>
    </w:sdtPr>
    <w:sdtEndPr>
      <w:rPr>
        <w:noProof/>
      </w:rPr>
    </w:sdtEndPr>
    <w:sdtContent>
      <w:p w:rsidR="007E1194" w:rsidRDefault="00D602FF">
        <w:pPr>
          <w:pStyle w:val="Footer"/>
          <w:jc w:val="center"/>
        </w:pPr>
        <w:r>
          <w:fldChar w:fldCharType="begin"/>
        </w:r>
        <w:r w:rsidR="007E1194">
          <w:instrText xml:space="preserve"> PAGE   \* MERGEFORMAT </w:instrText>
        </w:r>
        <w:r>
          <w:fldChar w:fldCharType="separate"/>
        </w:r>
        <w:r w:rsidR="0004193A">
          <w:rPr>
            <w:noProof/>
          </w:rPr>
          <w:t>1</w:t>
        </w:r>
        <w:r>
          <w:rPr>
            <w:noProof/>
          </w:rPr>
          <w:fldChar w:fldCharType="end"/>
        </w:r>
      </w:p>
    </w:sdtContent>
  </w:sdt>
  <w:p w:rsidR="00BF70F7" w:rsidRPr="00BF70F7" w:rsidRDefault="00BF70F7" w:rsidP="00BF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93A" w:rsidRDefault="0004193A" w:rsidP="00E93525">
      <w:pPr>
        <w:spacing w:after="0" w:line="240" w:lineRule="auto"/>
      </w:pPr>
      <w:r>
        <w:separator/>
      </w:r>
    </w:p>
  </w:footnote>
  <w:footnote w:type="continuationSeparator" w:id="1">
    <w:p w:rsidR="0004193A" w:rsidRDefault="0004193A" w:rsidP="00E93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27"/>
    <w:multiLevelType w:val="hybridMultilevel"/>
    <w:tmpl w:val="9D101A04"/>
    <w:lvl w:ilvl="0" w:tplc="2F58BD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011E"/>
    <w:multiLevelType w:val="hybridMultilevel"/>
    <w:tmpl w:val="C3F4DDEE"/>
    <w:lvl w:ilvl="0" w:tplc="7EC01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21C0F"/>
    <w:multiLevelType w:val="hybridMultilevel"/>
    <w:tmpl w:val="062031BA"/>
    <w:lvl w:ilvl="0" w:tplc="D7CC57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6">
    <w:nsid w:val="14C32A20"/>
    <w:multiLevelType w:val="hybridMultilevel"/>
    <w:tmpl w:val="26D89C08"/>
    <w:lvl w:ilvl="0" w:tplc="795A1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615289B"/>
    <w:multiLevelType w:val="hybridMultilevel"/>
    <w:tmpl w:val="28105392"/>
    <w:lvl w:ilvl="0" w:tplc="A8705DA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24010"/>
    <w:multiLevelType w:val="hybridMultilevel"/>
    <w:tmpl w:val="FCD079C8"/>
    <w:lvl w:ilvl="0" w:tplc="AE4E7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026891"/>
    <w:multiLevelType w:val="hybridMultilevel"/>
    <w:tmpl w:val="43A20BF0"/>
    <w:lvl w:ilvl="0" w:tplc="49E2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0616CD3"/>
    <w:multiLevelType w:val="hybridMultilevel"/>
    <w:tmpl w:val="DFFAF632"/>
    <w:lvl w:ilvl="0" w:tplc="A016E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A4E24"/>
    <w:multiLevelType w:val="hybridMultilevel"/>
    <w:tmpl w:val="0A688FAE"/>
    <w:lvl w:ilvl="0" w:tplc="13AE53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A77168D"/>
    <w:multiLevelType w:val="hybridMultilevel"/>
    <w:tmpl w:val="E37CC2B2"/>
    <w:lvl w:ilvl="0" w:tplc="0DAA8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686FB8"/>
    <w:multiLevelType w:val="hybridMultilevel"/>
    <w:tmpl w:val="785606A6"/>
    <w:lvl w:ilvl="0" w:tplc="2070CB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04F5D"/>
    <w:multiLevelType w:val="hybridMultilevel"/>
    <w:tmpl w:val="168C4348"/>
    <w:lvl w:ilvl="0" w:tplc="002A81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1"/>
  </w:num>
  <w:num w:numId="2">
    <w:abstractNumId w:val="7"/>
  </w:num>
  <w:num w:numId="3">
    <w:abstractNumId w:val="16"/>
  </w:num>
  <w:num w:numId="4">
    <w:abstractNumId w:val="9"/>
  </w:num>
  <w:num w:numId="5">
    <w:abstractNumId w:val="18"/>
  </w:num>
  <w:num w:numId="6">
    <w:abstractNumId w:val="17"/>
  </w:num>
  <w:num w:numId="7">
    <w:abstractNumId w:val="12"/>
  </w:num>
  <w:num w:numId="8">
    <w:abstractNumId w:val="27"/>
  </w:num>
  <w:num w:numId="9">
    <w:abstractNumId w:val="3"/>
  </w:num>
  <w:num w:numId="10">
    <w:abstractNumId w:val="13"/>
  </w:num>
  <w:num w:numId="11">
    <w:abstractNumId w:val="5"/>
  </w:num>
  <w:num w:numId="12">
    <w:abstractNumId w:val="4"/>
  </w:num>
  <w:num w:numId="13">
    <w:abstractNumId w:val="14"/>
  </w:num>
  <w:num w:numId="14">
    <w:abstractNumId w:val="8"/>
  </w:num>
  <w:num w:numId="15">
    <w:abstractNumId w:val="26"/>
  </w:num>
  <w:num w:numId="16">
    <w:abstractNumId w:val="20"/>
  </w:num>
  <w:num w:numId="17">
    <w:abstractNumId w:val="2"/>
  </w:num>
  <w:num w:numId="18">
    <w:abstractNumId w:val="11"/>
  </w:num>
  <w:num w:numId="19">
    <w:abstractNumId w:val="0"/>
  </w:num>
  <w:num w:numId="20">
    <w:abstractNumId w:val="22"/>
  </w:num>
  <w:num w:numId="21">
    <w:abstractNumId w:val="19"/>
  </w:num>
  <w:num w:numId="22">
    <w:abstractNumId w:val="10"/>
  </w:num>
  <w:num w:numId="23">
    <w:abstractNumId w:val="24"/>
  </w:num>
  <w:num w:numId="24">
    <w:abstractNumId w:val="23"/>
  </w:num>
  <w:num w:numId="25">
    <w:abstractNumId w:val="15"/>
  </w:num>
  <w:num w:numId="26">
    <w:abstractNumId w:val="25"/>
  </w:num>
  <w:num w:numId="27">
    <w:abstractNumId w:val="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savePreviewPicture/>
  <w:footnotePr>
    <w:footnote w:id="0"/>
    <w:footnote w:id="1"/>
  </w:footnotePr>
  <w:endnotePr>
    <w:endnote w:id="0"/>
    <w:endnote w:id="1"/>
  </w:endnotePr>
  <w:compat/>
  <w:rsids>
    <w:rsidRoot w:val="00A7641D"/>
    <w:rsid w:val="00001BBB"/>
    <w:rsid w:val="00002AED"/>
    <w:rsid w:val="000047C1"/>
    <w:rsid w:val="00006229"/>
    <w:rsid w:val="00010014"/>
    <w:rsid w:val="00011111"/>
    <w:rsid w:val="000114B0"/>
    <w:rsid w:val="0001775A"/>
    <w:rsid w:val="000228BB"/>
    <w:rsid w:val="00022D75"/>
    <w:rsid w:val="00023654"/>
    <w:rsid w:val="00026832"/>
    <w:rsid w:val="00031B8C"/>
    <w:rsid w:val="0003317C"/>
    <w:rsid w:val="000332DA"/>
    <w:rsid w:val="00034E4E"/>
    <w:rsid w:val="000356DA"/>
    <w:rsid w:val="000360EA"/>
    <w:rsid w:val="0004193A"/>
    <w:rsid w:val="000436CB"/>
    <w:rsid w:val="0004376C"/>
    <w:rsid w:val="000442DF"/>
    <w:rsid w:val="000443CA"/>
    <w:rsid w:val="0004571E"/>
    <w:rsid w:val="0004768C"/>
    <w:rsid w:val="00047B44"/>
    <w:rsid w:val="000511FB"/>
    <w:rsid w:val="000522FD"/>
    <w:rsid w:val="000570A2"/>
    <w:rsid w:val="00062EB6"/>
    <w:rsid w:val="00063372"/>
    <w:rsid w:val="00066A98"/>
    <w:rsid w:val="000705EE"/>
    <w:rsid w:val="0007118B"/>
    <w:rsid w:val="00071F43"/>
    <w:rsid w:val="00075FC1"/>
    <w:rsid w:val="00077DA9"/>
    <w:rsid w:val="00081739"/>
    <w:rsid w:val="00087AAB"/>
    <w:rsid w:val="00090175"/>
    <w:rsid w:val="000903BB"/>
    <w:rsid w:val="00095C2C"/>
    <w:rsid w:val="0009645D"/>
    <w:rsid w:val="000A380F"/>
    <w:rsid w:val="000A416B"/>
    <w:rsid w:val="000A6E74"/>
    <w:rsid w:val="000B1150"/>
    <w:rsid w:val="000B5A7C"/>
    <w:rsid w:val="000B6E05"/>
    <w:rsid w:val="000C0B5F"/>
    <w:rsid w:val="000C16B0"/>
    <w:rsid w:val="000C2311"/>
    <w:rsid w:val="000C2521"/>
    <w:rsid w:val="000C2ED9"/>
    <w:rsid w:val="000C59A2"/>
    <w:rsid w:val="000C7D78"/>
    <w:rsid w:val="000D1640"/>
    <w:rsid w:val="000D3501"/>
    <w:rsid w:val="000D3ED6"/>
    <w:rsid w:val="000D3F0B"/>
    <w:rsid w:val="000E392A"/>
    <w:rsid w:val="000E42D6"/>
    <w:rsid w:val="000E5D6A"/>
    <w:rsid w:val="000F2824"/>
    <w:rsid w:val="000F46C7"/>
    <w:rsid w:val="000F7C8D"/>
    <w:rsid w:val="00102685"/>
    <w:rsid w:val="00102ECA"/>
    <w:rsid w:val="00103AE9"/>
    <w:rsid w:val="00105FB7"/>
    <w:rsid w:val="00106F1A"/>
    <w:rsid w:val="00113F7B"/>
    <w:rsid w:val="0011714A"/>
    <w:rsid w:val="00117326"/>
    <w:rsid w:val="00122476"/>
    <w:rsid w:val="00123762"/>
    <w:rsid w:val="0012600C"/>
    <w:rsid w:val="00132BE9"/>
    <w:rsid w:val="00135C2B"/>
    <w:rsid w:val="0013731C"/>
    <w:rsid w:val="00137514"/>
    <w:rsid w:val="00140313"/>
    <w:rsid w:val="00141F84"/>
    <w:rsid w:val="00143637"/>
    <w:rsid w:val="00143795"/>
    <w:rsid w:val="00144433"/>
    <w:rsid w:val="001467C3"/>
    <w:rsid w:val="0014739B"/>
    <w:rsid w:val="001515F1"/>
    <w:rsid w:val="00152192"/>
    <w:rsid w:val="00152583"/>
    <w:rsid w:val="00156A8D"/>
    <w:rsid w:val="00157FC1"/>
    <w:rsid w:val="00161068"/>
    <w:rsid w:val="0016153B"/>
    <w:rsid w:val="00161A47"/>
    <w:rsid w:val="00164307"/>
    <w:rsid w:val="0016460D"/>
    <w:rsid w:val="00164D68"/>
    <w:rsid w:val="00164F59"/>
    <w:rsid w:val="001661C7"/>
    <w:rsid w:val="001670DD"/>
    <w:rsid w:val="00170C1A"/>
    <w:rsid w:val="001710A5"/>
    <w:rsid w:val="00171C97"/>
    <w:rsid w:val="001741D0"/>
    <w:rsid w:val="00174E1E"/>
    <w:rsid w:val="00177FD8"/>
    <w:rsid w:val="001909D2"/>
    <w:rsid w:val="001913F5"/>
    <w:rsid w:val="00191CD8"/>
    <w:rsid w:val="0019283C"/>
    <w:rsid w:val="0019680B"/>
    <w:rsid w:val="00197039"/>
    <w:rsid w:val="00197CAF"/>
    <w:rsid w:val="001A0593"/>
    <w:rsid w:val="001A5533"/>
    <w:rsid w:val="001A65D3"/>
    <w:rsid w:val="001A6EFF"/>
    <w:rsid w:val="001B07CF"/>
    <w:rsid w:val="001B588E"/>
    <w:rsid w:val="001B5F81"/>
    <w:rsid w:val="001C2676"/>
    <w:rsid w:val="001C2CEC"/>
    <w:rsid w:val="001C578A"/>
    <w:rsid w:val="001C6298"/>
    <w:rsid w:val="001C6E11"/>
    <w:rsid w:val="001C79CB"/>
    <w:rsid w:val="001D11B9"/>
    <w:rsid w:val="001D213A"/>
    <w:rsid w:val="001D2506"/>
    <w:rsid w:val="001D4747"/>
    <w:rsid w:val="001E0812"/>
    <w:rsid w:val="001E331E"/>
    <w:rsid w:val="001E43B0"/>
    <w:rsid w:val="001E5148"/>
    <w:rsid w:val="001E5B8B"/>
    <w:rsid w:val="001E7933"/>
    <w:rsid w:val="001F3E4D"/>
    <w:rsid w:val="001F4FEE"/>
    <w:rsid w:val="001F51FD"/>
    <w:rsid w:val="001F6FC3"/>
    <w:rsid w:val="001F7554"/>
    <w:rsid w:val="00201928"/>
    <w:rsid w:val="002029F9"/>
    <w:rsid w:val="002033CE"/>
    <w:rsid w:val="002044F2"/>
    <w:rsid w:val="002066BF"/>
    <w:rsid w:val="00206704"/>
    <w:rsid w:val="00210250"/>
    <w:rsid w:val="002141B9"/>
    <w:rsid w:val="00216E3D"/>
    <w:rsid w:val="0021711F"/>
    <w:rsid w:val="00217DC9"/>
    <w:rsid w:val="00221D5E"/>
    <w:rsid w:val="00221EEA"/>
    <w:rsid w:val="00223268"/>
    <w:rsid w:val="00232D5F"/>
    <w:rsid w:val="00233F07"/>
    <w:rsid w:val="002349E0"/>
    <w:rsid w:val="00235624"/>
    <w:rsid w:val="002409DD"/>
    <w:rsid w:val="00242EE9"/>
    <w:rsid w:val="00243B0F"/>
    <w:rsid w:val="00246E21"/>
    <w:rsid w:val="002474BC"/>
    <w:rsid w:val="00250442"/>
    <w:rsid w:val="00250DC3"/>
    <w:rsid w:val="00251C31"/>
    <w:rsid w:val="002552D9"/>
    <w:rsid w:val="0025718C"/>
    <w:rsid w:val="00257286"/>
    <w:rsid w:val="002579F2"/>
    <w:rsid w:val="00257C74"/>
    <w:rsid w:val="0026391B"/>
    <w:rsid w:val="00264E58"/>
    <w:rsid w:val="00265F7E"/>
    <w:rsid w:val="00266E8D"/>
    <w:rsid w:val="00270A81"/>
    <w:rsid w:val="00273195"/>
    <w:rsid w:val="00273775"/>
    <w:rsid w:val="002746A7"/>
    <w:rsid w:val="00274D74"/>
    <w:rsid w:val="0027787A"/>
    <w:rsid w:val="00282C38"/>
    <w:rsid w:val="002847C9"/>
    <w:rsid w:val="0028649A"/>
    <w:rsid w:val="002878CB"/>
    <w:rsid w:val="00290DF9"/>
    <w:rsid w:val="002932E6"/>
    <w:rsid w:val="00295461"/>
    <w:rsid w:val="0029592B"/>
    <w:rsid w:val="00295AD4"/>
    <w:rsid w:val="002A031B"/>
    <w:rsid w:val="002A184B"/>
    <w:rsid w:val="002A1B52"/>
    <w:rsid w:val="002A5E62"/>
    <w:rsid w:val="002B1068"/>
    <w:rsid w:val="002B2A5F"/>
    <w:rsid w:val="002B35FF"/>
    <w:rsid w:val="002B3FF9"/>
    <w:rsid w:val="002B7161"/>
    <w:rsid w:val="002B774E"/>
    <w:rsid w:val="002C2129"/>
    <w:rsid w:val="002C29A5"/>
    <w:rsid w:val="002C29B8"/>
    <w:rsid w:val="002C3690"/>
    <w:rsid w:val="002C48B9"/>
    <w:rsid w:val="002C5BAE"/>
    <w:rsid w:val="002D23CD"/>
    <w:rsid w:val="002D5714"/>
    <w:rsid w:val="002D5EED"/>
    <w:rsid w:val="002E38CB"/>
    <w:rsid w:val="002E51AC"/>
    <w:rsid w:val="002F1D0C"/>
    <w:rsid w:val="002F32C9"/>
    <w:rsid w:val="002F3C19"/>
    <w:rsid w:val="002F45F5"/>
    <w:rsid w:val="002F483D"/>
    <w:rsid w:val="0030048F"/>
    <w:rsid w:val="00300F79"/>
    <w:rsid w:val="00305112"/>
    <w:rsid w:val="003063E5"/>
    <w:rsid w:val="003067A5"/>
    <w:rsid w:val="00307764"/>
    <w:rsid w:val="00307F08"/>
    <w:rsid w:val="00316A47"/>
    <w:rsid w:val="00320643"/>
    <w:rsid w:val="00322B70"/>
    <w:rsid w:val="003246C4"/>
    <w:rsid w:val="00327700"/>
    <w:rsid w:val="003305FE"/>
    <w:rsid w:val="003317D1"/>
    <w:rsid w:val="00336A0C"/>
    <w:rsid w:val="00337197"/>
    <w:rsid w:val="0034297F"/>
    <w:rsid w:val="00345E9E"/>
    <w:rsid w:val="00350DDC"/>
    <w:rsid w:val="00356DEF"/>
    <w:rsid w:val="00360784"/>
    <w:rsid w:val="0036126D"/>
    <w:rsid w:val="00362BC1"/>
    <w:rsid w:val="003635B9"/>
    <w:rsid w:val="00363F1A"/>
    <w:rsid w:val="0036406E"/>
    <w:rsid w:val="00365900"/>
    <w:rsid w:val="00365F56"/>
    <w:rsid w:val="0036706A"/>
    <w:rsid w:val="00371550"/>
    <w:rsid w:val="00372594"/>
    <w:rsid w:val="0037277D"/>
    <w:rsid w:val="00372AA2"/>
    <w:rsid w:val="003732E6"/>
    <w:rsid w:val="003740A0"/>
    <w:rsid w:val="00374E6C"/>
    <w:rsid w:val="00377A84"/>
    <w:rsid w:val="003816C9"/>
    <w:rsid w:val="00382559"/>
    <w:rsid w:val="00382CE8"/>
    <w:rsid w:val="0038369F"/>
    <w:rsid w:val="00384E04"/>
    <w:rsid w:val="00386C22"/>
    <w:rsid w:val="003877B9"/>
    <w:rsid w:val="00390325"/>
    <w:rsid w:val="00390A53"/>
    <w:rsid w:val="00392067"/>
    <w:rsid w:val="00394037"/>
    <w:rsid w:val="003945E8"/>
    <w:rsid w:val="00396A9B"/>
    <w:rsid w:val="00396FB3"/>
    <w:rsid w:val="003A0E18"/>
    <w:rsid w:val="003A1E0B"/>
    <w:rsid w:val="003A7EB2"/>
    <w:rsid w:val="003B354B"/>
    <w:rsid w:val="003B3AF4"/>
    <w:rsid w:val="003B6A00"/>
    <w:rsid w:val="003B78C4"/>
    <w:rsid w:val="003C1D9D"/>
    <w:rsid w:val="003C1E50"/>
    <w:rsid w:val="003C3214"/>
    <w:rsid w:val="003C39E0"/>
    <w:rsid w:val="003D02B6"/>
    <w:rsid w:val="003D0FAB"/>
    <w:rsid w:val="003D1991"/>
    <w:rsid w:val="003D427D"/>
    <w:rsid w:val="003D4975"/>
    <w:rsid w:val="003D5C75"/>
    <w:rsid w:val="003D7384"/>
    <w:rsid w:val="003D78F6"/>
    <w:rsid w:val="003D7973"/>
    <w:rsid w:val="003E02CE"/>
    <w:rsid w:val="003E32CC"/>
    <w:rsid w:val="003E407B"/>
    <w:rsid w:val="003E4C85"/>
    <w:rsid w:val="003E5535"/>
    <w:rsid w:val="003E79F0"/>
    <w:rsid w:val="003F0751"/>
    <w:rsid w:val="003F1CDF"/>
    <w:rsid w:val="00406EE4"/>
    <w:rsid w:val="00407514"/>
    <w:rsid w:val="00407833"/>
    <w:rsid w:val="004107D0"/>
    <w:rsid w:val="004128B6"/>
    <w:rsid w:val="00413157"/>
    <w:rsid w:val="00414580"/>
    <w:rsid w:val="00416CFA"/>
    <w:rsid w:val="00417D80"/>
    <w:rsid w:val="004209F9"/>
    <w:rsid w:val="00420AEE"/>
    <w:rsid w:val="004229F8"/>
    <w:rsid w:val="00423EB9"/>
    <w:rsid w:val="00430B3D"/>
    <w:rsid w:val="00432325"/>
    <w:rsid w:val="00434F6D"/>
    <w:rsid w:val="00440B66"/>
    <w:rsid w:val="00440EC2"/>
    <w:rsid w:val="004444BA"/>
    <w:rsid w:val="00444CF9"/>
    <w:rsid w:val="00447A2E"/>
    <w:rsid w:val="004544D0"/>
    <w:rsid w:val="00454D95"/>
    <w:rsid w:val="00456703"/>
    <w:rsid w:val="00457C55"/>
    <w:rsid w:val="00460AF4"/>
    <w:rsid w:val="00461B53"/>
    <w:rsid w:val="004623A6"/>
    <w:rsid w:val="004632C6"/>
    <w:rsid w:val="00466200"/>
    <w:rsid w:val="00466D93"/>
    <w:rsid w:val="004672B9"/>
    <w:rsid w:val="00471484"/>
    <w:rsid w:val="0047178E"/>
    <w:rsid w:val="00471D0B"/>
    <w:rsid w:val="004722A0"/>
    <w:rsid w:val="00473A8B"/>
    <w:rsid w:val="004778F6"/>
    <w:rsid w:val="0048362A"/>
    <w:rsid w:val="004851C8"/>
    <w:rsid w:val="00486F63"/>
    <w:rsid w:val="00487E03"/>
    <w:rsid w:val="00491101"/>
    <w:rsid w:val="004911CA"/>
    <w:rsid w:val="00494CDB"/>
    <w:rsid w:val="00495D93"/>
    <w:rsid w:val="004966F4"/>
    <w:rsid w:val="00497677"/>
    <w:rsid w:val="004A2533"/>
    <w:rsid w:val="004A3141"/>
    <w:rsid w:val="004A367E"/>
    <w:rsid w:val="004A4617"/>
    <w:rsid w:val="004A496F"/>
    <w:rsid w:val="004A53E9"/>
    <w:rsid w:val="004A5A24"/>
    <w:rsid w:val="004A793F"/>
    <w:rsid w:val="004B1A8B"/>
    <w:rsid w:val="004C1839"/>
    <w:rsid w:val="004C2573"/>
    <w:rsid w:val="004C2C98"/>
    <w:rsid w:val="004C485A"/>
    <w:rsid w:val="004C7CA9"/>
    <w:rsid w:val="004D0C86"/>
    <w:rsid w:val="004D1197"/>
    <w:rsid w:val="004D1ADB"/>
    <w:rsid w:val="004D41C9"/>
    <w:rsid w:val="004D5BFC"/>
    <w:rsid w:val="004D654A"/>
    <w:rsid w:val="004D6BD1"/>
    <w:rsid w:val="004D79C8"/>
    <w:rsid w:val="004E0882"/>
    <w:rsid w:val="004E236E"/>
    <w:rsid w:val="004E2908"/>
    <w:rsid w:val="004E4408"/>
    <w:rsid w:val="004E4707"/>
    <w:rsid w:val="004E4EA8"/>
    <w:rsid w:val="004E6A20"/>
    <w:rsid w:val="004E6AEF"/>
    <w:rsid w:val="004E7959"/>
    <w:rsid w:val="004F2389"/>
    <w:rsid w:val="004F2FB6"/>
    <w:rsid w:val="00500901"/>
    <w:rsid w:val="00500A8D"/>
    <w:rsid w:val="00501ACD"/>
    <w:rsid w:val="00504227"/>
    <w:rsid w:val="00506F4B"/>
    <w:rsid w:val="0051077F"/>
    <w:rsid w:val="005119F1"/>
    <w:rsid w:val="00511F19"/>
    <w:rsid w:val="00512428"/>
    <w:rsid w:val="00512976"/>
    <w:rsid w:val="00512C97"/>
    <w:rsid w:val="005145A8"/>
    <w:rsid w:val="00517A8B"/>
    <w:rsid w:val="0052090D"/>
    <w:rsid w:val="005243AE"/>
    <w:rsid w:val="00525AFD"/>
    <w:rsid w:val="005302C9"/>
    <w:rsid w:val="005308D1"/>
    <w:rsid w:val="0053389B"/>
    <w:rsid w:val="0053518A"/>
    <w:rsid w:val="005425D8"/>
    <w:rsid w:val="00542B3D"/>
    <w:rsid w:val="00543D80"/>
    <w:rsid w:val="005457A7"/>
    <w:rsid w:val="005478C9"/>
    <w:rsid w:val="005502A8"/>
    <w:rsid w:val="005527BD"/>
    <w:rsid w:val="00553A5E"/>
    <w:rsid w:val="00556683"/>
    <w:rsid w:val="0056384D"/>
    <w:rsid w:val="005639C5"/>
    <w:rsid w:val="00565C3F"/>
    <w:rsid w:val="005664AB"/>
    <w:rsid w:val="00571AF5"/>
    <w:rsid w:val="00571CDF"/>
    <w:rsid w:val="00572C0B"/>
    <w:rsid w:val="00576094"/>
    <w:rsid w:val="0058056D"/>
    <w:rsid w:val="005808FB"/>
    <w:rsid w:val="005823DF"/>
    <w:rsid w:val="00583B03"/>
    <w:rsid w:val="005852CB"/>
    <w:rsid w:val="005853FB"/>
    <w:rsid w:val="00586878"/>
    <w:rsid w:val="00586B2F"/>
    <w:rsid w:val="0059236D"/>
    <w:rsid w:val="005A1800"/>
    <w:rsid w:val="005A2158"/>
    <w:rsid w:val="005A309C"/>
    <w:rsid w:val="005B062A"/>
    <w:rsid w:val="005B5A96"/>
    <w:rsid w:val="005B7391"/>
    <w:rsid w:val="005C1500"/>
    <w:rsid w:val="005C304A"/>
    <w:rsid w:val="005C3763"/>
    <w:rsid w:val="005C4463"/>
    <w:rsid w:val="005C5E53"/>
    <w:rsid w:val="005D0E19"/>
    <w:rsid w:val="005D16D6"/>
    <w:rsid w:val="005D273E"/>
    <w:rsid w:val="005D3B47"/>
    <w:rsid w:val="005D550D"/>
    <w:rsid w:val="005E0541"/>
    <w:rsid w:val="005E14DD"/>
    <w:rsid w:val="005E1CC5"/>
    <w:rsid w:val="005E2A25"/>
    <w:rsid w:val="005E394D"/>
    <w:rsid w:val="005E681B"/>
    <w:rsid w:val="005E6A98"/>
    <w:rsid w:val="005F0596"/>
    <w:rsid w:val="005F0A0A"/>
    <w:rsid w:val="005F0F27"/>
    <w:rsid w:val="005F1994"/>
    <w:rsid w:val="005F36D5"/>
    <w:rsid w:val="005F3A90"/>
    <w:rsid w:val="005F3ACA"/>
    <w:rsid w:val="005F5903"/>
    <w:rsid w:val="005F5DE3"/>
    <w:rsid w:val="00602503"/>
    <w:rsid w:val="006036FD"/>
    <w:rsid w:val="006049DB"/>
    <w:rsid w:val="006060BE"/>
    <w:rsid w:val="00606978"/>
    <w:rsid w:val="00607238"/>
    <w:rsid w:val="006076C0"/>
    <w:rsid w:val="006103CF"/>
    <w:rsid w:val="006129DF"/>
    <w:rsid w:val="00612AD2"/>
    <w:rsid w:val="0061385E"/>
    <w:rsid w:val="00620468"/>
    <w:rsid w:val="006226F5"/>
    <w:rsid w:val="00624AA8"/>
    <w:rsid w:val="00624FD3"/>
    <w:rsid w:val="00630145"/>
    <w:rsid w:val="006307DB"/>
    <w:rsid w:val="00636F83"/>
    <w:rsid w:val="00637716"/>
    <w:rsid w:val="00637E3A"/>
    <w:rsid w:val="006406E4"/>
    <w:rsid w:val="0064317D"/>
    <w:rsid w:val="00645245"/>
    <w:rsid w:val="0064666D"/>
    <w:rsid w:val="00646707"/>
    <w:rsid w:val="00647EE1"/>
    <w:rsid w:val="006502CA"/>
    <w:rsid w:val="00652BC9"/>
    <w:rsid w:val="00656B70"/>
    <w:rsid w:val="00657167"/>
    <w:rsid w:val="00660D6C"/>
    <w:rsid w:val="006614AB"/>
    <w:rsid w:val="00667325"/>
    <w:rsid w:val="00667B1B"/>
    <w:rsid w:val="00667CAE"/>
    <w:rsid w:val="00670995"/>
    <w:rsid w:val="00671F71"/>
    <w:rsid w:val="00673001"/>
    <w:rsid w:val="006749D9"/>
    <w:rsid w:val="006829E3"/>
    <w:rsid w:val="00684161"/>
    <w:rsid w:val="0068592D"/>
    <w:rsid w:val="00685BCB"/>
    <w:rsid w:val="00694DB3"/>
    <w:rsid w:val="00695849"/>
    <w:rsid w:val="00696BD6"/>
    <w:rsid w:val="006A03FD"/>
    <w:rsid w:val="006A2EE5"/>
    <w:rsid w:val="006A57C4"/>
    <w:rsid w:val="006A7B89"/>
    <w:rsid w:val="006B17CF"/>
    <w:rsid w:val="006B3AE9"/>
    <w:rsid w:val="006B43AD"/>
    <w:rsid w:val="006B45B1"/>
    <w:rsid w:val="006B6B6A"/>
    <w:rsid w:val="006C2633"/>
    <w:rsid w:val="006C381C"/>
    <w:rsid w:val="006C5C08"/>
    <w:rsid w:val="006C6719"/>
    <w:rsid w:val="006C77FD"/>
    <w:rsid w:val="006C7C4D"/>
    <w:rsid w:val="006C7E48"/>
    <w:rsid w:val="006D1098"/>
    <w:rsid w:val="006D55ED"/>
    <w:rsid w:val="006E0524"/>
    <w:rsid w:val="006E0EC1"/>
    <w:rsid w:val="006E5FEB"/>
    <w:rsid w:val="006E6C4B"/>
    <w:rsid w:val="006F0324"/>
    <w:rsid w:val="006F21B9"/>
    <w:rsid w:val="007021AF"/>
    <w:rsid w:val="0070225A"/>
    <w:rsid w:val="0070566F"/>
    <w:rsid w:val="0070570F"/>
    <w:rsid w:val="0071145D"/>
    <w:rsid w:val="00712682"/>
    <w:rsid w:val="00712D11"/>
    <w:rsid w:val="00714FDB"/>
    <w:rsid w:val="007173F0"/>
    <w:rsid w:val="007175DC"/>
    <w:rsid w:val="00723EAC"/>
    <w:rsid w:val="00730CB6"/>
    <w:rsid w:val="00734BD5"/>
    <w:rsid w:val="00735E3C"/>
    <w:rsid w:val="0073705F"/>
    <w:rsid w:val="00737B2E"/>
    <w:rsid w:val="00743524"/>
    <w:rsid w:val="00744B2B"/>
    <w:rsid w:val="0075495B"/>
    <w:rsid w:val="00760939"/>
    <w:rsid w:val="00762155"/>
    <w:rsid w:val="00763158"/>
    <w:rsid w:val="00763791"/>
    <w:rsid w:val="00766313"/>
    <w:rsid w:val="00766DE0"/>
    <w:rsid w:val="00767E8F"/>
    <w:rsid w:val="007719C9"/>
    <w:rsid w:val="00771BDD"/>
    <w:rsid w:val="007736E2"/>
    <w:rsid w:val="00774B4C"/>
    <w:rsid w:val="007756F9"/>
    <w:rsid w:val="007801F8"/>
    <w:rsid w:val="007809C4"/>
    <w:rsid w:val="007835A7"/>
    <w:rsid w:val="00784AD1"/>
    <w:rsid w:val="00785F45"/>
    <w:rsid w:val="00787FF4"/>
    <w:rsid w:val="007966C1"/>
    <w:rsid w:val="007967A2"/>
    <w:rsid w:val="007A2D07"/>
    <w:rsid w:val="007A496B"/>
    <w:rsid w:val="007A4D5C"/>
    <w:rsid w:val="007A6FA2"/>
    <w:rsid w:val="007B1887"/>
    <w:rsid w:val="007B2806"/>
    <w:rsid w:val="007B55C7"/>
    <w:rsid w:val="007B7C96"/>
    <w:rsid w:val="007C0140"/>
    <w:rsid w:val="007C20D1"/>
    <w:rsid w:val="007C4BFF"/>
    <w:rsid w:val="007C6AF7"/>
    <w:rsid w:val="007D2AEE"/>
    <w:rsid w:val="007D54AC"/>
    <w:rsid w:val="007D74F3"/>
    <w:rsid w:val="007E1194"/>
    <w:rsid w:val="007E4FE3"/>
    <w:rsid w:val="007F01D4"/>
    <w:rsid w:val="007F3F16"/>
    <w:rsid w:val="007F49C5"/>
    <w:rsid w:val="00800851"/>
    <w:rsid w:val="008025EB"/>
    <w:rsid w:val="00803F66"/>
    <w:rsid w:val="00804DD2"/>
    <w:rsid w:val="00805228"/>
    <w:rsid w:val="00811439"/>
    <w:rsid w:val="00811FF2"/>
    <w:rsid w:val="00812912"/>
    <w:rsid w:val="0081461B"/>
    <w:rsid w:val="008146DE"/>
    <w:rsid w:val="00821904"/>
    <w:rsid w:val="00821BDA"/>
    <w:rsid w:val="00822388"/>
    <w:rsid w:val="008239F2"/>
    <w:rsid w:val="00825022"/>
    <w:rsid w:val="00825156"/>
    <w:rsid w:val="00827340"/>
    <w:rsid w:val="00832E1D"/>
    <w:rsid w:val="00840C7C"/>
    <w:rsid w:val="008428DB"/>
    <w:rsid w:val="008442C2"/>
    <w:rsid w:val="00844A82"/>
    <w:rsid w:val="0084638F"/>
    <w:rsid w:val="00846C56"/>
    <w:rsid w:val="0085154A"/>
    <w:rsid w:val="00852B42"/>
    <w:rsid w:val="00855216"/>
    <w:rsid w:val="008570C5"/>
    <w:rsid w:val="00857CA3"/>
    <w:rsid w:val="00860AF6"/>
    <w:rsid w:val="008617FD"/>
    <w:rsid w:val="00861A97"/>
    <w:rsid w:val="00862A63"/>
    <w:rsid w:val="0086388B"/>
    <w:rsid w:val="00864ED3"/>
    <w:rsid w:val="00865CE9"/>
    <w:rsid w:val="008665FE"/>
    <w:rsid w:val="00871875"/>
    <w:rsid w:val="00872B0B"/>
    <w:rsid w:val="00874C7E"/>
    <w:rsid w:val="00876387"/>
    <w:rsid w:val="00881EFF"/>
    <w:rsid w:val="00882067"/>
    <w:rsid w:val="008823B2"/>
    <w:rsid w:val="00886EE2"/>
    <w:rsid w:val="008978BE"/>
    <w:rsid w:val="008A2619"/>
    <w:rsid w:val="008A3D72"/>
    <w:rsid w:val="008A3D8D"/>
    <w:rsid w:val="008A468D"/>
    <w:rsid w:val="008A49BE"/>
    <w:rsid w:val="008A559A"/>
    <w:rsid w:val="008A59D9"/>
    <w:rsid w:val="008A6072"/>
    <w:rsid w:val="008A6301"/>
    <w:rsid w:val="008A682D"/>
    <w:rsid w:val="008B0D77"/>
    <w:rsid w:val="008B1F23"/>
    <w:rsid w:val="008B3867"/>
    <w:rsid w:val="008B53E0"/>
    <w:rsid w:val="008B5FC4"/>
    <w:rsid w:val="008B7FA5"/>
    <w:rsid w:val="008C1027"/>
    <w:rsid w:val="008C2049"/>
    <w:rsid w:val="008C2D93"/>
    <w:rsid w:val="008C4898"/>
    <w:rsid w:val="008C63CA"/>
    <w:rsid w:val="008C77D0"/>
    <w:rsid w:val="008D4DBB"/>
    <w:rsid w:val="008D611D"/>
    <w:rsid w:val="008D65FA"/>
    <w:rsid w:val="008D77AB"/>
    <w:rsid w:val="008E1160"/>
    <w:rsid w:val="008E1720"/>
    <w:rsid w:val="008E1F9D"/>
    <w:rsid w:val="008E385D"/>
    <w:rsid w:val="008F20E7"/>
    <w:rsid w:val="008F3F0C"/>
    <w:rsid w:val="008F4C41"/>
    <w:rsid w:val="009008C3"/>
    <w:rsid w:val="009033A4"/>
    <w:rsid w:val="009034AF"/>
    <w:rsid w:val="0090489D"/>
    <w:rsid w:val="00905A54"/>
    <w:rsid w:val="00907951"/>
    <w:rsid w:val="00911EA6"/>
    <w:rsid w:val="0091262F"/>
    <w:rsid w:val="00913C3E"/>
    <w:rsid w:val="009153FB"/>
    <w:rsid w:val="009169C6"/>
    <w:rsid w:val="009204AD"/>
    <w:rsid w:val="009237F3"/>
    <w:rsid w:val="00923E2D"/>
    <w:rsid w:val="0093068E"/>
    <w:rsid w:val="00930AAC"/>
    <w:rsid w:val="00935154"/>
    <w:rsid w:val="009373A2"/>
    <w:rsid w:val="00937C9A"/>
    <w:rsid w:val="00940125"/>
    <w:rsid w:val="0094090E"/>
    <w:rsid w:val="0094151D"/>
    <w:rsid w:val="00941619"/>
    <w:rsid w:val="0094313B"/>
    <w:rsid w:val="00945A54"/>
    <w:rsid w:val="0094676E"/>
    <w:rsid w:val="00947D93"/>
    <w:rsid w:val="009518DA"/>
    <w:rsid w:val="00951C01"/>
    <w:rsid w:val="00955B22"/>
    <w:rsid w:val="0096299C"/>
    <w:rsid w:val="00962B3A"/>
    <w:rsid w:val="00964267"/>
    <w:rsid w:val="0096686C"/>
    <w:rsid w:val="00966D5B"/>
    <w:rsid w:val="00967154"/>
    <w:rsid w:val="00971057"/>
    <w:rsid w:val="00971133"/>
    <w:rsid w:val="00972B41"/>
    <w:rsid w:val="00972F1A"/>
    <w:rsid w:val="00976557"/>
    <w:rsid w:val="00976E71"/>
    <w:rsid w:val="00980612"/>
    <w:rsid w:val="00982A84"/>
    <w:rsid w:val="00983896"/>
    <w:rsid w:val="00984847"/>
    <w:rsid w:val="00984E02"/>
    <w:rsid w:val="00990189"/>
    <w:rsid w:val="00992E43"/>
    <w:rsid w:val="00993D90"/>
    <w:rsid w:val="009963CA"/>
    <w:rsid w:val="00996A87"/>
    <w:rsid w:val="009A34EB"/>
    <w:rsid w:val="009A5B6D"/>
    <w:rsid w:val="009A6972"/>
    <w:rsid w:val="009B074A"/>
    <w:rsid w:val="009B081E"/>
    <w:rsid w:val="009B5A93"/>
    <w:rsid w:val="009B6E01"/>
    <w:rsid w:val="009C1F8E"/>
    <w:rsid w:val="009C717C"/>
    <w:rsid w:val="009D0A0B"/>
    <w:rsid w:val="009D118F"/>
    <w:rsid w:val="009D3B56"/>
    <w:rsid w:val="009D6D2D"/>
    <w:rsid w:val="009E0205"/>
    <w:rsid w:val="009E2F4F"/>
    <w:rsid w:val="009E407D"/>
    <w:rsid w:val="009E50E7"/>
    <w:rsid w:val="009E527A"/>
    <w:rsid w:val="009E63D4"/>
    <w:rsid w:val="009F1607"/>
    <w:rsid w:val="009F45CA"/>
    <w:rsid w:val="009F520F"/>
    <w:rsid w:val="009F70C3"/>
    <w:rsid w:val="009F7391"/>
    <w:rsid w:val="00A0159F"/>
    <w:rsid w:val="00A10237"/>
    <w:rsid w:val="00A14B8A"/>
    <w:rsid w:val="00A14E83"/>
    <w:rsid w:val="00A15139"/>
    <w:rsid w:val="00A16F09"/>
    <w:rsid w:val="00A21F6B"/>
    <w:rsid w:val="00A22630"/>
    <w:rsid w:val="00A31C09"/>
    <w:rsid w:val="00A32080"/>
    <w:rsid w:val="00A32916"/>
    <w:rsid w:val="00A33E09"/>
    <w:rsid w:val="00A35135"/>
    <w:rsid w:val="00A35A4F"/>
    <w:rsid w:val="00A3625B"/>
    <w:rsid w:val="00A36C22"/>
    <w:rsid w:val="00A37DC5"/>
    <w:rsid w:val="00A40215"/>
    <w:rsid w:val="00A442AC"/>
    <w:rsid w:val="00A44A53"/>
    <w:rsid w:val="00A47CEA"/>
    <w:rsid w:val="00A47FB5"/>
    <w:rsid w:val="00A51AFC"/>
    <w:rsid w:val="00A5306D"/>
    <w:rsid w:val="00A544B8"/>
    <w:rsid w:val="00A54E75"/>
    <w:rsid w:val="00A55294"/>
    <w:rsid w:val="00A606AF"/>
    <w:rsid w:val="00A611D7"/>
    <w:rsid w:val="00A667E0"/>
    <w:rsid w:val="00A676B8"/>
    <w:rsid w:val="00A70EA8"/>
    <w:rsid w:val="00A71C62"/>
    <w:rsid w:val="00A722B8"/>
    <w:rsid w:val="00A7641D"/>
    <w:rsid w:val="00A81DC5"/>
    <w:rsid w:val="00A8208D"/>
    <w:rsid w:val="00A830A7"/>
    <w:rsid w:val="00A838F5"/>
    <w:rsid w:val="00A840D6"/>
    <w:rsid w:val="00A842AB"/>
    <w:rsid w:val="00A8726B"/>
    <w:rsid w:val="00A92296"/>
    <w:rsid w:val="00A92D83"/>
    <w:rsid w:val="00A941CD"/>
    <w:rsid w:val="00A953A1"/>
    <w:rsid w:val="00A9678B"/>
    <w:rsid w:val="00AA4209"/>
    <w:rsid w:val="00AA42CB"/>
    <w:rsid w:val="00AA62EC"/>
    <w:rsid w:val="00AA6BF8"/>
    <w:rsid w:val="00AB0740"/>
    <w:rsid w:val="00AB1657"/>
    <w:rsid w:val="00AB68D8"/>
    <w:rsid w:val="00AB7507"/>
    <w:rsid w:val="00AC00EC"/>
    <w:rsid w:val="00AC07EA"/>
    <w:rsid w:val="00AC0B4F"/>
    <w:rsid w:val="00AC1C2E"/>
    <w:rsid w:val="00AC1D20"/>
    <w:rsid w:val="00AC27FC"/>
    <w:rsid w:val="00AC44AA"/>
    <w:rsid w:val="00AD06AC"/>
    <w:rsid w:val="00AD21C3"/>
    <w:rsid w:val="00AD2795"/>
    <w:rsid w:val="00AD57C7"/>
    <w:rsid w:val="00AD5E54"/>
    <w:rsid w:val="00AD7104"/>
    <w:rsid w:val="00AD7240"/>
    <w:rsid w:val="00AE3087"/>
    <w:rsid w:val="00AE6E66"/>
    <w:rsid w:val="00AE71AD"/>
    <w:rsid w:val="00AE7E38"/>
    <w:rsid w:val="00AF1169"/>
    <w:rsid w:val="00AF3E5E"/>
    <w:rsid w:val="00AF4282"/>
    <w:rsid w:val="00AF56AC"/>
    <w:rsid w:val="00B00FEC"/>
    <w:rsid w:val="00B02E4D"/>
    <w:rsid w:val="00B15231"/>
    <w:rsid w:val="00B17524"/>
    <w:rsid w:val="00B20294"/>
    <w:rsid w:val="00B24F18"/>
    <w:rsid w:val="00B30E9B"/>
    <w:rsid w:val="00B314E4"/>
    <w:rsid w:val="00B31F4E"/>
    <w:rsid w:val="00B3539D"/>
    <w:rsid w:val="00B405E9"/>
    <w:rsid w:val="00B42451"/>
    <w:rsid w:val="00B43743"/>
    <w:rsid w:val="00B46787"/>
    <w:rsid w:val="00B469D3"/>
    <w:rsid w:val="00B50FD9"/>
    <w:rsid w:val="00B549C5"/>
    <w:rsid w:val="00B61086"/>
    <w:rsid w:val="00B63021"/>
    <w:rsid w:val="00B630B8"/>
    <w:rsid w:val="00B63DA0"/>
    <w:rsid w:val="00B640A3"/>
    <w:rsid w:val="00B64E6E"/>
    <w:rsid w:val="00B6512A"/>
    <w:rsid w:val="00B71497"/>
    <w:rsid w:val="00B72FB7"/>
    <w:rsid w:val="00B739C5"/>
    <w:rsid w:val="00B740AD"/>
    <w:rsid w:val="00B743F3"/>
    <w:rsid w:val="00B77176"/>
    <w:rsid w:val="00B82522"/>
    <w:rsid w:val="00B83246"/>
    <w:rsid w:val="00B83A12"/>
    <w:rsid w:val="00B841C4"/>
    <w:rsid w:val="00B84B56"/>
    <w:rsid w:val="00B862BD"/>
    <w:rsid w:val="00B94A9B"/>
    <w:rsid w:val="00B953A7"/>
    <w:rsid w:val="00B95BA9"/>
    <w:rsid w:val="00B96AEC"/>
    <w:rsid w:val="00B972C8"/>
    <w:rsid w:val="00B978F5"/>
    <w:rsid w:val="00BA2809"/>
    <w:rsid w:val="00BA366F"/>
    <w:rsid w:val="00BA6852"/>
    <w:rsid w:val="00BB1ED0"/>
    <w:rsid w:val="00BB28E2"/>
    <w:rsid w:val="00BB3265"/>
    <w:rsid w:val="00BB4161"/>
    <w:rsid w:val="00BB421E"/>
    <w:rsid w:val="00BB456E"/>
    <w:rsid w:val="00BB4F30"/>
    <w:rsid w:val="00BC2913"/>
    <w:rsid w:val="00BC75F1"/>
    <w:rsid w:val="00BC7CFD"/>
    <w:rsid w:val="00BD2748"/>
    <w:rsid w:val="00BD7EA0"/>
    <w:rsid w:val="00BE04C7"/>
    <w:rsid w:val="00BE0F83"/>
    <w:rsid w:val="00BE1DD5"/>
    <w:rsid w:val="00BE3A25"/>
    <w:rsid w:val="00BE3B02"/>
    <w:rsid w:val="00BE4BC9"/>
    <w:rsid w:val="00BF058A"/>
    <w:rsid w:val="00BF073C"/>
    <w:rsid w:val="00BF2D6E"/>
    <w:rsid w:val="00BF2E42"/>
    <w:rsid w:val="00BF4192"/>
    <w:rsid w:val="00BF4EAF"/>
    <w:rsid w:val="00BF70F7"/>
    <w:rsid w:val="00BF77A6"/>
    <w:rsid w:val="00BF78FD"/>
    <w:rsid w:val="00BF7D83"/>
    <w:rsid w:val="00C00D5D"/>
    <w:rsid w:val="00C01AA3"/>
    <w:rsid w:val="00C03D0A"/>
    <w:rsid w:val="00C04105"/>
    <w:rsid w:val="00C11024"/>
    <w:rsid w:val="00C12D6C"/>
    <w:rsid w:val="00C1510A"/>
    <w:rsid w:val="00C15788"/>
    <w:rsid w:val="00C15BAC"/>
    <w:rsid w:val="00C1605A"/>
    <w:rsid w:val="00C17702"/>
    <w:rsid w:val="00C20B83"/>
    <w:rsid w:val="00C2355E"/>
    <w:rsid w:val="00C23B5C"/>
    <w:rsid w:val="00C240FA"/>
    <w:rsid w:val="00C24DD3"/>
    <w:rsid w:val="00C26085"/>
    <w:rsid w:val="00C30CF0"/>
    <w:rsid w:val="00C33568"/>
    <w:rsid w:val="00C3476C"/>
    <w:rsid w:val="00C37B07"/>
    <w:rsid w:val="00C417B1"/>
    <w:rsid w:val="00C43664"/>
    <w:rsid w:val="00C45FD2"/>
    <w:rsid w:val="00C46E8F"/>
    <w:rsid w:val="00C47EF6"/>
    <w:rsid w:val="00C501C4"/>
    <w:rsid w:val="00C508AD"/>
    <w:rsid w:val="00C50A7F"/>
    <w:rsid w:val="00C52BA6"/>
    <w:rsid w:val="00C52F15"/>
    <w:rsid w:val="00C54369"/>
    <w:rsid w:val="00C55513"/>
    <w:rsid w:val="00C562C5"/>
    <w:rsid w:val="00C575A0"/>
    <w:rsid w:val="00C6028F"/>
    <w:rsid w:val="00C64AF8"/>
    <w:rsid w:val="00C662F0"/>
    <w:rsid w:val="00C67E62"/>
    <w:rsid w:val="00C717CB"/>
    <w:rsid w:val="00C730F1"/>
    <w:rsid w:val="00C731E0"/>
    <w:rsid w:val="00C7424C"/>
    <w:rsid w:val="00C75B80"/>
    <w:rsid w:val="00C76417"/>
    <w:rsid w:val="00C83855"/>
    <w:rsid w:val="00C83891"/>
    <w:rsid w:val="00C845A3"/>
    <w:rsid w:val="00C8641C"/>
    <w:rsid w:val="00C909FA"/>
    <w:rsid w:val="00C9183B"/>
    <w:rsid w:val="00C92036"/>
    <w:rsid w:val="00C92C0F"/>
    <w:rsid w:val="00C93F21"/>
    <w:rsid w:val="00C9725C"/>
    <w:rsid w:val="00CA1BBD"/>
    <w:rsid w:val="00CA336B"/>
    <w:rsid w:val="00CA4677"/>
    <w:rsid w:val="00CA62B2"/>
    <w:rsid w:val="00CA6849"/>
    <w:rsid w:val="00CA7E96"/>
    <w:rsid w:val="00CB10A8"/>
    <w:rsid w:val="00CB2962"/>
    <w:rsid w:val="00CB2A0E"/>
    <w:rsid w:val="00CB3359"/>
    <w:rsid w:val="00CB7BCE"/>
    <w:rsid w:val="00CC262F"/>
    <w:rsid w:val="00CC42EF"/>
    <w:rsid w:val="00CC63DA"/>
    <w:rsid w:val="00CC703D"/>
    <w:rsid w:val="00CD4744"/>
    <w:rsid w:val="00CE0501"/>
    <w:rsid w:val="00CE2512"/>
    <w:rsid w:val="00CE29B3"/>
    <w:rsid w:val="00CE2F56"/>
    <w:rsid w:val="00CE3791"/>
    <w:rsid w:val="00CE5777"/>
    <w:rsid w:val="00CF161E"/>
    <w:rsid w:val="00CF23F0"/>
    <w:rsid w:val="00CF2C1D"/>
    <w:rsid w:val="00CF30B8"/>
    <w:rsid w:val="00CF358A"/>
    <w:rsid w:val="00CF4BBD"/>
    <w:rsid w:val="00CF57D7"/>
    <w:rsid w:val="00CF5E7C"/>
    <w:rsid w:val="00D02F2F"/>
    <w:rsid w:val="00D02F58"/>
    <w:rsid w:val="00D06FA3"/>
    <w:rsid w:val="00D10EA5"/>
    <w:rsid w:val="00D12CFF"/>
    <w:rsid w:val="00D133E9"/>
    <w:rsid w:val="00D22339"/>
    <w:rsid w:val="00D257E4"/>
    <w:rsid w:val="00D3065D"/>
    <w:rsid w:val="00D32212"/>
    <w:rsid w:val="00D32A56"/>
    <w:rsid w:val="00D331A7"/>
    <w:rsid w:val="00D340E7"/>
    <w:rsid w:val="00D34961"/>
    <w:rsid w:val="00D35C0D"/>
    <w:rsid w:val="00D41D54"/>
    <w:rsid w:val="00D44F08"/>
    <w:rsid w:val="00D45308"/>
    <w:rsid w:val="00D46899"/>
    <w:rsid w:val="00D46A72"/>
    <w:rsid w:val="00D50542"/>
    <w:rsid w:val="00D50A4D"/>
    <w:rsid w:val="00D515C4"/>
    <w:rsid w:val="00D51DEF"/>
    <w:rsid w:val="00D55709"/>
    <w:rsid w:val="00D558C9"/>
    <w:rsid w:val="00D602FF"/>
    <w:rsid w:val="00D61831"/>
    <w:rsid w:val="00D62D18"/>
    <w:rsid w:val="00D650A1"/>
    <w:rsid w:val="00D66911"/>
    <w:rsid w:val="00D70E6B"/>
    <w:rsid w:val="00D71459"/>
    <w:rsid w:val="00D72365"/>
    <w:rsid w:val="00D77872"/>
    <w:rsid w:val="00D80802"/>
    <w:rsid w:val="00D8351D"/>
    <w:rsid w:val="00D85CC5"/>
    <w:rsid w:val="00D85F0A"/>
    <w:rsid w:val="00D8631D"/>
    <w:rsid w:val="00D906D8"/>
    <w:rsid w:val="00D90ED1"/>
    <w:rsid w:val="00D9119B"/>
    <w:rsid w:val="00D93990"/>
    <w:rsid w:val="00D94A16"/>
    <w:rsid w:val="00D94DAB"/>
    <w:rsid w:val="00D960FA"/>
    <w:rsid w:val="00D9701F"/>
    <w:rsid w:val="00DA0246"/>
    <w:rsid w:val="00DA3927"/>
    <w:rsid w:val="00DA6EAB"/>
    <w:rsid w:val="00DA7883"/>
    <w:rsid w:val="00DB20B2"/>
    <w:rsid w:val="00DB7BED"/>
    <w:rsid w:val="00DC58A9"/>
    <w:rsid w:val="00DD0EA4"/>
    <w:rsid w:val="00DD6C68"/>
    <w:rsid w:val="00DD7950"/>
    <w:rsid w:val="00DE2E3F"/>
    <w:rsid w:val="00DE7135"/>
    <w:rsid w:val="00DE78BD"/>
    <w:rsid w:val="00DE7CC3"/>
    <w:rsid w:val="00DF02F0"/>
    <w:rsid w:val="00DF17A0"/>
    <w:rsid w:val="00DF2000"/>
    <w:rsid w:val="00DF2B21"/>
    <w:rsid w:val="00DF428A"/>
    <w:rsid w:val="00DF4A35"/>
    <w:rsid w:val="00DF4C69"/>
    <w:rsid w:val="00DF73B4"/>
    <w:rsid w:val="00E0116E"/>
    <w:rsid w:val="00E01B12"/>
    <w:rsid w:val="00E11D61"/>
    <w:rsid w:val="00E12748"/>
    <w:rsid w:val="00E13885"/>
    <w:rsid w:val="00E219B7"/>
    <w:rsid w:val="00E21DAE"/>
    <w:rsid w:val="00E223C9"/>
    <w:rsid w:val="00E23534"/>
    <w:rsid w:val="00E239AA"/>
    <w:rsid w:val="00E24285"/>
    <w:rsid w:val="00E264F6"/>
    <w:rsid w:val="00E2722D"/>
    <w:rsid w:val="00E309C2"/>
    <w:rsid w:val="00E318A0"/>
    <w:rsid w:val="00E32756"/>
    <w:rsid w:val="00E331A9"/>
    <w:rsid w:val="00E361A5"/>
    <w:rsid w:val="00E361E4"/>
    <w:rsid w:val="00E36238"/>
    <w:rsid w:val="00E41AA5"/>
    <w:rsid w:val="00E41D64"/>
    <w:rsid w:val="00E423CF"/>
    <w:rsid w:val="00E4457F"/>
    <w:rsid w:val="00E46796"/>
    <w:rsid w:val="00E46BDA"/>
    <w:rsid w:val="00E514FC"/>
    <w:rsid w:val="00E51811"/>
    <w:rsid w:val="00E51F76"/>
    <w:rsid w:val="00E534CE"/>
    <w:rsid w:val="00E56EA0"/>
    <w:rsid w:val="00E56FCD"/>
    <w:rsid w:val="00E5773A"/>
    <w:rsid w:val="00E57934"/>
    <w:rsid w:val="00E60ECE"/>
    <w:rsid w:val="00E661BA"/>
    <w:rsid w:val="00E663F2"/>
    <w:rsid w:val="00E66993"/>
    <w:rsid w:val="00E67C23"/>
    <w:rsid w:val="00E72687"/>
    <w:rsid w:val="00E72790"/>
    <w:rsid w:val="00E77273"/>
    <w:rsid w:val="00E81684"/>
    <w:rsid w:val="00E838DA"/>
    <w:rsid w:val="00E83934"/>
    <w:rsid w:val="00E855A3"/>
    <w:rsid w:val="00E922C5"/>
    <w:rsid w:val="00E93525"/>
    <w:rsid w:val="00E96831"/>
    <w:rsid w:val="00E97334"/>
    <w:rsid w:val="00EA5194"/>
    <w:rsid w:val="00EA5533"/>
    <w:rsid w:val="00EA6051"/>
    <w:rsid w:val="00EB17DD"/>
    <w:rsid w:val="00EB4162"/>
    <w:rsid w:val="00EB62CB"/>
    <w:rsid w:val="00EB7872"/>
    <w:rsid w:val="00EC3424"/>
    <w:rsid w:val="00EC7D78"/>
    <w:rsid w:val="00ED2835"/>
    <w:rsid w:val="00ED4CF5"/>
    <w:rsid w:val="00ED6292"/>
    <w:rsid w:val="00EE28FE"/>
    <w:rsid w:val="00EE695A"/>
    <w:rsid w:val="00EE7C3E"/>
    <w:rsid w:val="00EF06B7"/>
    <w:rsid w:val="00EF1A8F"/>
    <w:rsid w:val="00EF1FE5"/>
    <w:rsid w:val="00EF27EC"/>
    <w:rsid w:val="00EF29F4"/>
    <w:rsid w:val="00EF4BBA"/>
    <w:rsid w:val="00F00F38"/>
    <w:rsid w:val="00F01BEA"/>
    <w:rsid w:val="00F02B9D"/>
    <w:rsid w:val="00F048D9"/>
    <w:rsid w:val="00F06AE9"/>
    <w:rsid w:val="00F110B6"/>
    <w:rsid w:val="00F12D02"/>
    <w:rsid w:val="00F133C0"/>
    <w:rsid w:val="00F14294"/>
    <w:rsid w:val="00F15D81"/>
    <w:rsid w:val="00F15E20"/>
    <w:rsid w:val="00F1661D"/>
    <w:rsid w:val="00F16D59"/>
    <w:rsid w:val="00F23B85"/>
    <w:rsid w:val="00F27679"/>
    <w:rsid w:val="00F30EE9"/>
    <w:rsid w:val="00F323DB"/>
    <w:rsid w:val="00F32E3C"/>
    <w:rsid w:val="00F3442C"/>
    <w:rsid w:val="00F35812"/>
    <w:rsid w:val="00F366DF"/>
    <w:rsid w:val="00F411EC"/>
    <w:rsid w:val="00F4241A"/>
    <w:rsid w:val="00F42820"/>
    <w:rsid w:val="00F42D95"/>
    <w:rsid w:val="00F46155"/>
    <w:rsid w:val="00F471E8"/>
    <w:rsid w:val="00F50E3A"/>
    <w:rsid w:val="00F51496"/>
    <w:rsid w:val="00F56717"/>
    <w:rsid w:val="00F568FD"/>
    <w:rsid w:val="00F56F66"/>
    <w:rsid w:val="00F6241B"/>
    <w:rsid w:val="00F62BB0"/>
    <w:rsid w:val="00F63132"/>
    <w:rsid w:val="00F6326B"/>
    <w:rsid w:val="00F63837"/>
    <w:rsid w:val="00F63BA3"/>
    <w:rsid w:val="00F64C11"/>
    <w:rsid w:val="00F716B0"/>
    <w:rsid w:val="00F71976"/>
    <w:rsid w:val="00F80080"/>
    <w:rsid w:val="00F82E75"/>
    <w:rsid w:val="00F841E1"/>
    <w:rsid w:val="00F84901"/>
    <w:rsid w:val="00F85939"/>
    <w:rsid w:val="00F8694F"/>
    <w:rsid w:val="00F94BE3"/>
    <w:rsid w:val="00F9544B"/>
    <w:rsid w:val="00F95B78"/>
    <w:rsid w:val="00FA1C0E"/>
    <w:rsid w:val="00FA1EBD"/>
    <w:rsid w:val="00FA406A"/>
    <w:rsid w:val="00FA70D0"/>
    <w:rsid w:val="00FB11A0"/>
    <w:rsid w:val="00FB1647"/>
    <w:rsid w:val="00FB436B"/>
    <w:rsid w:val="00FB44B4"/>
    <w:rsid w:val="00FB4BFF"/>
    <w:rsid w:val="00FB5D52"/>
    <w:rsid w:val="00FB6E94"/>
    <w:rsid w:val="00FB74C6"/>
    <w:rsid w:val="00FC57F5"/>
    <w:rsid w:val="00FD3596"/>
    <w:rsid w:val="00FD465E"/>
    <w:rsid w:val="00FE1FE4"/>
    <w:rsid w:val="00FE2862"/>
    <w:rsid w:val="00FE3C2F"/>
    <w:rsid w:val="00FE5D26"/>
    <w:rsid w:val="00FF0B7B"/>
    <w:rsid w:val="00FF4960"/>
    <w:rsid w:val="00FF6116"/>
    <w:rsid w:val="00FF6D43"/>
    <w:rsid w:val="00FF6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normal-h1">
    <w:name w:val="normal-h1"/>
    <w:rsid w:val="00B94A9B"/>
    <w:rPr>
      <w:rFonts w:ascii=".VnTime" w:hAnsi=".VnTime" w:hint="default"/>
      <w:sz w:val="28"/>
      <w:szCs w:val="28"/>
    </w:rPr>
  </w:style>
  <w:style w:type="character" w:customStyle="1" w:styleId="ListParagraphChar">
    <w:name w:val="List Paragraph Char"/>
    <w:link w:val="ListParagraph"/>
    <w:uiPriority w:val="34"/>
    <w:rsid w:val="005E681B"/>
    <w:rPr>
      <w:sz w:val="26"/>
      <w:szCs w:val="22"/>
    </w:rPr>
  </w:style>
  <w:style w:type="paragraph" w:styleId="BodyTextIndent3">
    <w:name w:val="Body Text Indent 3"/>
    <w:basedOn w:val="Normal"/>
    <w:link w:val="BodyTextIndent3Char"/>
    <w:uiPriority w:val="99"/>
    <w:semiHidden/>
    <w:unhideWhenUsed/>
    <w:rsid w:val="00D35C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5C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normal-h1">
    <w:name w:val="normal-h1"/>
    <w:rsid w:val="00B94A9B"/>
    <w:rPr>
      <w:rFonts w:ascii=".VnTime" w:hAnsi=".VnTime" w:hint="default"/>
      <w:sz w:val="28"/>
      <w:szCs w:val="28"/>
    </w:rPr>
  </w:style>
  <w:style w:type="character" w:customStyle="1" w:styleId="ListParagraphChar">
    <w:name w:val="List Paragraph Char"/>
    <w:link w:val="ListParagraph"/>
    <w:uiPriority w:val="34"/>
    <w:rsid w:val="005E681B"/>
    <w:rPr>
      <w:sz w:val="26"/>
      <w:szCs w:val="22"/>
    </w:rPr>
  </w:style>
  <w:style w:type="paragraph" w:styleId="BodyTextIndent3">
    <w:name w:val="Body Text Indent 3"/>
    <w:basedOn w:val="Normal"/>
    <w:link w:val="BodyTextIndent3Char"/>
    <w:uiPriority w:val="99"/>
    <w:semiHidden/>
    <w:unhideWhenUsed/>
    <w:rsid w:val="00D35C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5C0D"/>
    <w:rPr>
      <w:sz w:val="16"/>
      <w:szCs w:val="16"/>
    </w:rPr>
  </w:style>
</w:styles>
</file>

<file path=word/webSettings.xml><?xml version="1.0" encoding="utf-8"?>
<w:webSettings xmlns:r="http://schemas.openxmlformats.org/officeDocument/2006/relationships" xmlns:w="http://schemas.openxmlformats.org/wordprocessingml/2006/main">
  <w:divs>
    <w:div w:id="180164637">
      <w:bodyDiv w:val="1"/>
      <w:marLeft w:val="0"/>
      <w:marRight w:val="0"/>
      <w:marTop w:val="0"/>
      <w:marBottom w:val="0"/>
      <w:divBdr>
        <w:top w:val="none" w:sz="0" w:space="0" w:color="auto"/>
        <w:left w:val="none" w:sz="0" w:space="0" w:color="auto"/>
        <w:bottom w:val="none" w:sz="0" w:space="0" w:color="auto"/>
        <w:right w:val="none" w:sz="0" w:space="0" w:color="auto"/>
      </w:divBdr>
    </w:div>
    <w:div w:id="1075057375">
      <w:bodyDiv w:val="1"/>
      <w:marLeft w:val="0"/>
      <w:marRight w:val="0"/>
      <w:marTop w:val="0"/>
      <w:marBottom w:val="0"/>
      <w:divBdr>
        <w:top w:val="none" w:sz="0" w:space="0" w:color="auto"/>
        <w:left w:val="none" w:sz="0" w:space="0" w:color="auto"/>
        <w:bottom w:val="none" w:sz="0" w:space="0" w:color="auto"/>
        <w:right w:val="none" w:sz="0" w:space="0" w:color="auto"/>
      </w:divBdr>
    </w:div>
    <w:div w:id="1594245692">
      <w:bodyDiv w:val="1"/>
      <w:marLeft w:val="0"/>
      <w:marRight w:val="0"/>
      <w:marTop w:val="0"/>
      <w:marBottom w:val="0"/>
      <w:divBdr>
        <w:top w:val="none" w:sz="0" w:space="0" w:color="auto"/>
        <w:left w:val="none" w:sz="0" w:space="0" w:color="auto"/>
        <w:bottom w:val="none" w:sz="0" w:space="0" w:color="auto"/>
        <w:right w:val="none" w:sz="0" w:space="0" w:color="auto"/>
      </w:divBdr>
    </w:div>
    <w:div w:id="16559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6EC4-B300-4377-B4DF-986AE30B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hadth</dc:creator>
  <cp:lastModifiedBy>khatv</cp:lastModifiedBy>
  <cp:revision>20</cp:revision>
  <cp:lastPrinted>2018-04-05T10:24:00Z</cp:lastPrinted>
  <dcterms:created xsi:type="dcterms:W3CDTF">2018-04-06T00:40:00Z</dcterms:created>
  <dcterms:modified xsi:type="dcterms:W3CDTF">2018-04-06T04:05:00Z</dcterms:modified>
</cp:coreProperties>
</file>